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Default="007B2D87" w:rsidP="00F50E15">
      <w:pPr>
        <w:ind w:firstLineChars="200" w:firstLine="883"/>
        <w:jc w:val="center"/>
        <w:rPr>
          <w:rFonts w:asciiTheme="majorEastAsia" w:eastAsiaTheme="majorEastAsia" w:hAnsiTheme="majorEastAsia" w:cs="Times New Roman"/>
          <w:b/>
          <w:sz w:val="44"/>
          <w:szCs w:val="44"/>
        </w:rPr>
      </w:pPr>
      <w:r w:rsidRPr="00F50E15">
        <w:rPr>
          <w:rFonts w:asciiTheme="majorEastAsia" w:eastAsiaTheme="majorEastAsia" w:hAnsiTheme="majorEastAsia" w:cs="Times New Roman" w:hint="eastAsia"/>
          <w:b/>
          <w:sz w:val="44"/>
          <w:szCs w:val="44"/>
        </w:rPr>
        <w:t>香河县</w:t>
      </w:r>
      <w:r w:rsidR="009D4EF7">
        <w:rPr>
          <w:rFonts w:asciiTheme="majorEastAsia" w:eastAsiaTheme="majorEastAsia" w:hAnsiTheme="majorEastAsia" w:cs="Times New Roman" w:hint="eastAsia"/>
          <w:b/>
          <w:sz w:val="44"/>
          <w:szCs w:val="44"/>
        </w:rPr>
        <w:t>供销合作社联合社</w:t>
      </w:r>
      <w:r w:rsidR="00F66032" w:rsidRPr="00F50E15">
        <w:rPr>
          <w:rFonts w:asciiTheme="majorEastAsia" w:eastAsiaTheme="majorEastAsia" w:hAnsiTheme="majorEastAsia" w:cs="Times New Roman"/>
          <w:b/>
          <w:sz w:val="44"/>
          <w:szCs w:val="44"/>
        </w:rPr>
        <w:t>201</w:t>
      </w:r>
      <w:r w:rsidR="00260879">
        <w:rPr>
          <w:rFonts w:asciiTheme="majorEastAsia" w:eastAsiaTheme="majorEastAsia" w:hAnsiTheme="majorEastAsia" w:cs="Times New Roman" w:hint="eastAsia"/>
          <w:b/>
          <w:sz w:val="44"/>
          <w:szCs w:val="44"/>
        </w:rPr>
        <w:t>8</w:t>
      </w:r>
      <w:r w:rsidR="00485C84">
        <w:rPr>
          <w:rFonts w:asciiTheme="majorEastAsia" w:eastAsiaTheme="majorEastAsia" w:hAnsiTheme="majorEastAsia" w:cs="Times New Roman"/>
          <w:b/>
          <w:sz w:val="44"/>
          <w:szCs w:val="44"/>
        </w:rPr>
        <w:t>年部门预算</w:t>
      </w:r>
      <w:r w:rsidR="00F66032" w:rsidRPr="00F50E15">
        <w:rPr>
          <w:rFonts w:asciiTheme="majorEastAsia" w:eastAsiaTheme="majorEastAsia" w:hAnsiTheme="majorEastAsia" w:cs="Times New Roman"/>
          <w:b/>
          <w:sz w:val="44"/>
          <w:szCs w:val="44"/>
        </w:rPr>
        <w:t>公开</w:t>
      </w:r>
    </w:p>
    <w:p w:rsidR="00F50E15" w:rsidRPr="00F50E15" w:rsidRDefault="00F50E15" w:rsidP="00F50E15">
      <w:pPr>
        <w:ind w:firstLineChars="200" w:firstLine="883"/>
        <w:jc w:val="center"/>
        <w:rPr>
          <w:rFonts w:asciiTheme="majorEastAsia" w:eastAsiaTheme="majorEastAsia" w:hAnsiTheme="majorEastAsia" w:cs="Times New Roman"/>
          <w:b/>
          <w:sz w:val="44"/>
          <w:szCs w:val="44"/>
        </w:rPr>
      </w:pPr>
    </w:p>
    <w:p w:rsidR="00F66032" w:rsidRPr="00AA71ED" w:rsidRDefault="00F66032" w:rsidP="00E16BFB">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w:t>
      </w:r>
      <w:r w:rsidR="00614A29" w:rsidRPr="00AA71ED">
        <w:rPr>
          <w:rFonts w:ascii="仿宋" w:eastAsia="仿宋" w:hAnsi="仿宋" w:cs="Times New Roman" w:hint="eastAsia"/>
          <w:sz w:val="32"/>
          <w:szCs w:val="32"/>
        </w:rPr>
        <w:t>《预算法》、</w:t>
      </w:r>
      <w:r w:rsidRPr="00AA71ED">
        <w:rPr>
          <w:rFonts w:ascii="仿宋" w:eastAsia="仿宋" w:hAnsi="仿宋" w:cs="Times New Roman"/>
          <w:sz w:val="32"/>
          <w:szCs w:val="32"/>
        </w:rPr>
        <w:t>《地方预决算公开操作规程》和《河北省省级预算公开办法》</w:t>
      </w:r>
      <w:r w:rsidR="00614A29" w:rsidRPr="00AA71ED">
        <w:rPr>
          <w:rFonts w:ascii="仿宋" w:eastAsia="仿宋" w:hAnsi="仿宋" w:cs="Times New Roman" w:hint="eastAsia"/>
          <w:sz w:val="32"/>
          <w:szCs w:val="32"/>
        </w:rPr>
        <w:t>规定</w:t>
      </w:r>
      <w:r w:rsidRPr="00AA71ED">
        <w:rPr>
          <w:rFonts w:ascii="仿宋" w:eastAsia="仿宋" w:hAnsi="仿宋" w:cs="Times New Roman"/>
          <w:sz w:val="32"/>
          <w:szCs w:val="32"/>
        </w:rPr>
        <w:t>，现将</w:t>
      </w:r>
      <w:r w:rsidR="007B2D87" w:rsidRPr="00AA71ED">
        <w:rPr>
          <w:rFonts w:ascii="仿宋" w:eastAsia="仿宋" w:hAnsi="仿宋" w:cs="Times New Roman" w:hint="eastAsia"/>
          <w:sz w:val="32"/>
          <w:szCs w:val="32"/>
        </w:rPr>
        <w:t>香河县</w:t>
      </w:r>
      <w:bookmarkStart w:id="0" w:name="_GoBack"/>
      <w:bookmarkEnd w:id="0"/>
      <w:r w:rsidR="009D4EF7">
        <w:rPr>
          <w:rFonts w:ascii="仿宋" w:eastAsia="仿宋" w:hAnsi="仿宋" w:cs="Times New Roman" w:hint="eastAsia"/>
          <w:sz w:val="32"/>
          <w:szCs w:val="32"/>
        </w:rPr>
        <w:t>供销合作社联合社</w:t>
      </w:r>
      <w:r w:rsidRPr="00AA71ED">
        <w:rPr>
          <w:rFonts w:ascii="仿宋" w:eastAsia="仿宋" w:hAnsi="仿宋" w:cs="Times New Roman"/>
          <w:sz w:val="32"/>
          <w:szCs w:val="32"/>
        </w:rPr>
        <w:t>201</w:t>
      </w:r>
      <w:r w:rsidR="0091236C">
        <w:rPr>
          <w:rFonts w:ascii="仿宋" w:eastAsia="仿宋" w:hAnsi="仿宋" w:cs="Times New Roman" w:hint="eastAsia"/>
          <w:sz w:val="32"/>
          <w:szCs w:val="32"/>
        </w:rPr>
        <w:t>8</w:t>
      </w:r>
      <w:r w:rsidRPr="00AA71ED">
        <w:rPr>
          <w:rFonts w:ascii="仿宋" w:eastAsia="仿宋" w:hAnsi="仿宋" w:cs="Times New Roman"/>
          <w:sz w:val="32"/>
          <w:szCs w:val="32"/>
        </w:rPr>
        <w:t>年部门预算公开如下：</w:t>
      </w:r>
    </w:p>
    <w:p w:rsidR="00F66032" w:rsidRPr="00C24BF5" w:rsidRDefault="00F66032"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F66032" w:rsidRDefault="00F66032" w:rsidP="00A34D76">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w:t>
      </w:r>
      <w:r w:rsidRPr="004F6123">
        <w:rPr>
          <w:rFonts w:ascii="仿宋" w:eastAsia="仿宋" w:hAnsi="仿宋" w:cs="Times New Roman"/>
          <w:b/>
          <w:sz w:val="32"/>
          <w:szCs w:val="32"/>
        </w:rPr>
        <w:t>职责：</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1</w:t>
      </w:r>
      <w:r w:rsidRPr="00810264">
        <w:rPr>
          <w:rFonts w:ascii="仿宋" w:eastAsia="仿宋" w:hAnsi="仿宋" w:cs="宋体" w:hint="eastAsia"/>
          <w:color w:val="000000"/>
          <w:kern w:val="0"/>
          <w:sz w:val="32"/>
          <w:szCs w:val="32"/>
        </w:rPr>
        <w:t>、贯彻县委和县政府有关农村工作和社会发展的方针政策，制定全县供销社的发展战略和规划，指导全县供销系统综合改革与发展。</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2</w:t>
      </w:r>
      <w:r w:rsidRPr="00810264">
        <w:rPr>
          <w:rFonts w:ascii="仿宋" w:eastAsia="仿宋" w:hAnsi="仿宋" w:cs="宋体" w:hint="eastAsia"/>
          <w:color w:val="000000"/>
          <w:kern w:val="0"/>
          <w:sz w:val="32"/>
          <w:szCs w:val="32"/>
        </w:rPr>
        <w:t>、按照供销合作社章程赋予的合法权益，负责协调与政府各部门和社会组织的关系，促进合作经济的发展。</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3</w:t>
      </w:r>
      <w:r w:rsidRPr="00810264">
        <w:rPr>
          <w:rFonts w:ascii="仿宋" w:eastAsia="仿宋" w:hAnsi="仿宋" w:cs="宋体" w:hint="eastAsia"/>
          <w:color w:val="000000"/>
          <w:kern w:val="0"/>
          <w:sz w:val="32"/>
          <w:szCs w:val="32"/>
        </w:rPr>
        <w:t>、按照县政府授权，对全县重要农业生产资料、烟花爆竹和废旧再生资源进行组织、协调和管理。</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lastRenderedPageBreak/>
        <w:t>4</w:t>
      </w:r>
      <w:r w:rsidRPr="00810264">
        <w:rPr>
          <w:rFonts w:ascii="仿宋" w:eastAsia="仿宋" w:hAnsi="仿宋" w:cs="宋体" w:hint="eastAsia"/>
          <w:color w:val="000000"/>
          <w:kern w:val="0"/>
          <w:sz w:val="32"/>
          <w:szCs w:val="32"/>
        </w:rPr>
        <w:t>、根据《河北省食盐加碘消除碘缺乏危害监督管理条例》和有关规定，按照县政府授权，具体负责全县流通领域盐业行政管理，食盐批发和零售市场的监督检查，做好全县食盐专营工作。</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5</w:t>
      </w:r>
      <w:r w:rsidRPr="00810264">
        <w:rPr>
          <w:rFonts w:ascii="仿宋" w:eastAsia="仿宋" w:hAnsi="仿宋" w:cs="宋体" w:hint="eastAsia"/>
          <w:color w:val="000000"/>
          <w:kern w:val="0"/>
          <w:sz w:val="32"/>
          <w:szCs w:val="32"/>
        </w:rPr>
        <w:t>、负责指导全县供销社的业务活动，参与、推动和服务农业产业化经营，发展龙头企业、专业合作社和消费合作社，加快农业社会化服务体系和农产品市场体系建设，开拓城乡市场。</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6</w:t>
      </w:r>
      <w:r w:rsidRPr="00810264">
        <w:rPr>
          <w:rFonts w:ascii="仿宋" w:eastAsia="仿宋" w:hAnsi="仿宋" w:cs="宋体" w:hint="eastAsia"/>
          <w:color w:val="000000"/>
          <w:kern w:val="0"/>
          <w:sz w:val="32"/>
          <w:szCs w:val="32"/>
        </w:rPr>
        <w:t>、指导系统实施“科教兴社”战略，指导系统技术创新和技术推广，组织开展对社员和职工教育与培训，为全县供销社提供科技服务和信息服务。</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7</w:t>
      </w:r>
      <w:r w:rsidRPr="00810264">
        <w:rPr>
          <w:rFonts w:ascii="仿宋" w:eastAsia="仿宋" w:hAnsi="仿宋" w:cs="宋体" w:hint="eastAsia"/>
          <w:color w:val="000000"/>
          <w:kern w:val="0"/>
          <w:sz w:val="32"/>
          <w:szCs w:val="32"/>
        </w:rPr>
        <w:t>、负责指导全县供销社所属企业改革，建立现代企业制度，指导系统党风廉政建设。</w:t>
      </w:r>
    </w:p>
    <w:p w:rsidR="00F25140" w:rsidRPr="00810264" w:rsidRDefault="00F25140" w:rsidP="00F25140">
      <w:pPr>
        <w:widowControl/>
        <w:wordWrap w:val="0"/>
        <w:spacing w:line="580" w:lineRule="exact"/>
        <w:ind w:firstLine="630"/>
        <w:jc w:val="left"/>
        <w:rPr>
          <w:rFonts w:ascii="仿宋" w:eastAsia="仿宋" w:hAnsi="仿宋" w:cs="宋体"/>
          <w:color w:val="000000"/>
          <w:kern w:val="0"/>
          <w:sz w:val="32"/>
          <w:szCs w:val="32"/>
        </w:rPr>
      </w:pPr>
      <w:r w:rsidRPr="00810264">
        <w:rPr>
          <w:rFonts w:ascii="仿宋" w:eastAsia="仿宋" w:hAnsi="仿宋" w:cs="宋体"/>
          <w:color w:val="000000"/>
          <w:kern w:val="0"/>
          <w:sz w:val="32"/>
          <w:szCs w:val="32"/>
        </w:rPr>
        <w:t>8</w:t>
      </w:r>
      <w:r w:rsidRPr="00810264">
        <w:rPr>
          <w:rFonts w:ascii="仿宋" w:eastAsia="仿宋" w:hAnsi="仿宋" w:cs="宋体" w:hint="eastAsia"/>
          <w:color w:val="000000"/>
          <w:kern w:val="0"/>
          <w:sz w:val="32"/>
          <w:szCs w:val="32"/>
        </w:rPr>
        <w:t>、负责管理运营本级社有资产，对直属企业行使出资人职能，依法享有所有者的资产收益、重大问题决策和选择管理者的权力，决定资产受益办法和支配方式。负责机关及直属单位党建、精神文明建设和思想政治工作，按照干部管理权限考察任免干部。</w:t>
      </w:r>
    </w:p>
    <w:p w:rsidR="00F25140" w:rsidRPr="00AA71ED" w:rsidRDefault="00F25140" w:rsidP="00F25140">
      <w:pPr>
        <w:ind w:firstLineChars="200" w:firstLine="640"/>
        <w:rPr>
          <w:rFonts w:ascii="仿宋" w:eastAsia="仿宋" w:hAnsi="仿宋" w:cs="Times New Roman"/>
          <w:sz w:val="32"/>
          <w:szCs w:val="32"/>
        </w:rPr>
      </w:pPr>
      <w:r w:rsidRPr="00810264">
        <w:rPr>
          <w:rFonts w:ascii="仿宋" w:eastAsia="仿宋" w:hAnsi="仿宋" w:cs="宋体"/>
          <w:color w:val="000000"/>
          <w:kern w:val="0"/>
          <w:sz w:val="32"/>
          <w:szCs w:val="32"/>
        </w:rPr>
        <w:t>9</w:t>
      </w:r>
      <w:r w:rsidRPr="00810264">
        <w:rPr>
          <w:rFonts w:ascii="仿宋" w:eastAsia="仿宋" w:hAnsi="仿宋" w:cs="宋体" w:hint="eastAsia"/>
          <w:color w:val="000000"/>
          <w:kern w:val="0"/>
          <w:sz w:val="32"/>
          <w:szCs w:val="32"/>
        </w:rPr>
        <w:t>、承办县委、县政府和省、市供销社交办的其他事项。</w:t>
      </w:r>
    </w:p>
    <w:p w:rsidR="00223272" w:rsidRPr="0091236C" w:rsidRDefault="00223272" w:rsidP="00223272">
      <w:pPr>
        <w:ind w:firstLineChars="200" w:firstLine="640"/>
        <w:rPr>
          <w:rFonts w:ascii="仿宋" w:eastAsia="仿宋" w:hAnsi="仿宋" w:cs="Times New Roman"/>
          <w:color w:val="FF0000"/>
          <w:sz w:val="32"/>
          <w:szCs w:val="32"/>
        </w:rPr>
      </w:pPr>
    </w:p>
    <w:p w:rsidR="00F25140" w:rsidRDefault="00F25140" w:rsidP="004F6123">
      <w:pPr>
        <w:ind w:firstLineChars="200" w:firstLine="643"/>
        <w:rPr>
          <w:rFonts w:ascii="仿宋" w:eastAsia="仿宋" w:hAnsi="仿宋" w:cs="Times New Roman"/>
          <w:b/>
          <w:sz w:val="32"/>
          <w:szCs w:val="32"/>
        </w:rPr>
      </w:pPr>
    </w:p>
    <w:p w:rsidR="00F25140" w:rsidRDefault="00F25140" w:rsidP="004F6123">
      <w:pPr>
        <w:ind w:firstLineChars="200" w:firstLine="643"/>
        <w:rPr>
          <w:rFonts w:ascii="仿宋" w:eastAsia="仿宋" w:hAnsi="仿宋" w:cs="Times New Roman"/>
          <w:b/>
          <w:sz w:val="32"/>
          <w:szCs w:val="32"/>
        </w:rPr>
      </w:pPr>
    </w:p>
    <w:p w:rsidR="00F66032" w:rsidRPr="004F6123" w:rsidRDefault="00F66032" w:rsidP="004F6123">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lastRenderedPageBreak/>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25140" w:rsidRPr="00276CBD" w:rsidTr="003B758F">
        <w:trPr>
          <w:trHeight w:val="300"/>
          <w:tblHeader/>
          <w:jc w:val="center"/>
        </w:trPr>
        <w:tc>
          <w:tcPr>
            <w:tcW w:w="4443" w:type="dxa"/>
            <w:vMerge w:val="restart"/>
            <w:shd w:val="clear" w:color="auto" w:fill="auto"/>
            <w:vAlign w:val="center"/>
          </w:tcPr>
          <w:p w:rsidR="00F25140" w:rsidRPr="00276CBD" w:rsidRDefault="00F25140" w:rsidP="003B758F">
            <w:pPr>
              <w:spacing w:line="300" w:lineRule="exact"/>
              <w:jc w:val="center"/>
              <w:rPr>
                <w:rFonts w:ascii="仿宋" w:eastAsia="仿宋" w:hAnsi="仿宋" w:cs="Times New Roman"/>
                <w:b/>
                <w:szCs w:val="24"/>
              </w:rPr>
            </w:pPr>
            <w:r w:rsidRPr="00276CBD">
              <w:rPr>
                <w:rFonts w:ascii="仿宋" w:eastAsia="仿宋" w:hAnsi="仿宋" w:cs="Times New Roman"/>
                <w:b/>
                <w:szCs w:val="24"/>
              </w:rPr>
              <w:t>单位名称</w:t>
            </w:r>
          </w:p>
        </w:tc>
        <w:tc>
          <w:tcPr>
            <w:tcW w:w="1134" w:type="dxa"/>
            <w:vMerge w:val="restart"/>
            <w:shd w:val="clear" w:color="auto" w:fill="auto"/>
            <w:vAlign w:val="center"/>
          </w:tcPr>
          <w:p w:rsidR="00F25140" w:rsidRPr="00276CBD" w:rsidRDefault="00F25140" w:rsidP="003B758F">
            <w:pPr>
              <w:spacing w:line="300" w:lineRule="exact"/>
              <w:jc w:val="center"/>
              <w:rPr>
                <w:rFonts w:ascii="仿宋" w:eastAsia="仿宋" w:hAnsi="仿宋" w:cs="Times New Roman"/>
                <w:b/>
                <w:szCs w:val="24"/>
              </w:rPr>
            </w:pPr>
            <w:r w:rsidRPr="00276CBD">
              <w:rPr>
                <w:rFonts w:ascii="仿宋" w:eastAsia="仿宋" w:hAnsi="仿宋" w:cs="Times New Roman"/>
                <w:b/>
                <w:szCs w:val="24"/>
              </w:rPr>
              <w:t>单位性质</w:t>
            </w:r>
          </w:p>
        </w:tc>
        <w:tc>
          <w:tcPr>
            <w:tcW w:w="1276" w:type="dxa"/>
            <w:vMerge w:val="restart"/>
            <w:shd w:val="clear" w:color="auto" w:fill="auto"/>
            <w:vAlign w:val="center"/>
          </w:tcPr>
          <w:p w:rsidR="00F25140" w:rsidRPr="00276CBD" w:rsidRDefault="00F25140" w:rsidP="003B758F">
            <w:pPr>
              <w:spacing w:line="300" w:lineRule="exact"/>
              <w:jc w:val="center"/>
              <w:rPr>
                <w:rFonts w:ascii="仿宋" w:eastAsia="仿宋" w:hAnsi="仿宋" w:cs="Times New Roman"/>
                <w:b/>
                <w:szCs w:val="24"/>
              </w:rPr>
            </w:pPr>
            <w:r w:rsidRPr="00276CBD">
              <w:rPr>
                <w:rFonts w:ascii="仿宋" w:eastAsia="仿宋" w:hAnsi="仿宋" w:cs="Times New Roman"/>
                <w:b/>
                <w:szCs w:val="24"/>
              </w:rPr>
              <w:t>单位规格</w:t>
            </w:r>
          </w:p>
        </w:tc>
        <w:tc>
          <w:tcPr>
            <w:tcW w:w="2902" w:type="dxa"/>
            <w:vMerge w:val="restart"/>
            <w:shd w:val="clear" w:color="auto" w:fill="auto"/>
            <w:vAlign w:val="center"/>
          </w:tcPr>
          <w:p w:rsidR="00F25140" w:rsidRPr="00276CBD" w:rsidRDefault="00F25140" w:rsidP="003B758F">
            <w:pPr>
              <w:spacing w:line="300" w:lineRule="exact"/>
              <w:jc w:val="center"/>
              <w:rPr>
                <w:rFonts w:ascii="仿宋" w:eastAsia="仿宋" w:hAnsi="仿宋" w:cs="Times New Roman"/>
                <w:b/>
                <w:szCs w:val="24"/>
              </w:rPr>
            </w:pPr>
            <w:r w:rsidRPr="00276CBD">
              <w:rPr>
                <w:rFonts w:ascii="仿宋" w:eastAsia="仿宋" w:hAnsi="仿宋" w:cs="Times New Roman"/>
                <w:b/>
                <w:szCs w:val="24"/>
              </w:rPr>
              <w:t>经费保障形式</w:t>
            </w:r>
          </w:p>
        </w:tc>
      </w:tr>
      <w:tr w:rsidR="00F25140" w:rsidRPr="00276CBD" w:rsidTr="003B758F">
        <w:trPr>
          <w:trHeight w:val="300"/>
          <w:tblHeader/>
          <w:jc w:val="center"/>
        </w:trPr>
        <w:tc>
          <w:tcPr>
            <w:tcW w:w="4443" w:type="dxa"/>
            <w:vMerge/>
            <w:shd w:val="clear" w:color="auto" w:fill="auto"/>
            <w:vAlign w:val="center"/>
          </w:tcPr>
          <w:p w:rsidR="00F25140" w:rsidRPr="00276CBD" w:rsidRDefault="00F25140" w:rsidP="003B758F">
            <w:pPr>
              <w:spacing w:line="300" w:lineRule="exact"/>
              <w:jc w:val="center"/>
              <w:outlineLvl w:val="0"/>
              <w:rPr>
                <w:rFonts w:ascii="仿宋" w:eastAsia="仿宋" w:hAnsi="仿宋" w:cs="Times New Roman"/>
                <w:szCs w:val="24"/>
              </w:rPr>
            </w:pPr>
          </w:p>
        </w:tc>
        <w:tc>
          <w:tcPr>
            <w:tcW w:w="1134" w:type="dxa"/>
            <w:vMerge/>
            <w:shd w:val="clear" w:color="auto" w:fill="auto"/>
            <w:vAlign w:val="center"/>
          </w:tcPr>
          <w:p w:rsidR="00F25140" w:rsidRPr="00276CBD" w:rsidRDefault="00F25140" w:rsidP="003B758F">
            <w:pPr>
              <w:spacing w:line="300" w:lineRule="exact"/>
              <w:jc w:val="center"/>
              <w:outlineLvl w:val="0"/>
              <w:rPr>
                <w:rFonts w:ascii="仿宋" w:eastAsia="仿宋" w:hAnsi="仿宋" w:cs="Times New Roman"/>
                <w:szCs w:val="24"/>
              </w:rPr>
            </w:pPr>
          </w:p>
        </w:tc>
        <w:tc>
          <w:tcPr>
            <w:tcW w:w="1276" w:type="dxa"/>
            <w:vMerge/>
            <w:shd w:val="clear" w:color="auto" w:fill="auto"/>
            <w:vAlign w:val="center"/>
          </w:tcPr>
          <w:p w:rsidR="00F25140" w:rsidRPr="00276CBD" w:rsidRDefault="00F25140" w:rsidP="003B758F">
            <w:pPr>
              <w:spacing w:line="300" w:lineRule="exact"/>
              <w:jc w:val="center"/>
              <w:outlineLvl w:val="0"/>
              <w:rPr>
                <w:rFonts w:ascii="仿宋" w:eastAsia="仿宋" w:hAnsi="仿宋" w:cs="Times New Roman"/>
                <w:szCs w:val="24"/>
              </w:rPr>
            </w:pPr>
          </w:p>
        </w:tc>
        <w:tc>
          <w:tcPr>
            <w:tcW w:w="2902" w:type="dxa"/>
            <w:vMerge/>
            <w:shd w:val="clear" w:color="auto" w:fill="auto"/>
            <w:vAlign w:val="center"/>
          </w:tcPr>
          <w:p w:rsidR="00F25140" w:rsidRPr="00276CBD" w:rsidRDefault="00F25140" w:rsidP="003B758F">
            <w:pPr>
              <w:spacing w:line="300" w:lineRule="exact"/>
              <w:jc w:val="center"/>
              <w:outlineLvl w:val="0"/>
              <w:rPr>
                <w:rFonts w:ascii="仿宋" w:eastAsia="仿宋" w:hAnsi="仿宋" w:cs="Times New Roman"/>
                <w:szCs w:val="24"/>
              </w:rPr>
            </w:pPr>
          </w:p>
        </w:tc>
      </w:tr>
      <w:tr w:rsidR="00F25140" w:rsidRPr="00276CBD" w:rsidTr="003B758F">
        <w:trPr>
          <w:trHeight w:val="384"/>
          <w:jc w:val="center"/>
        </w:trPr>
        <w:tc>
          <w:tcPr>
            <w:tcW w:w="4443" w:type="dxa"/>
            <w:shd w:val="clear" w:color="auto" w:fill="auto"/>
            <w:vAlign w:val="center"/>
          </w:tcPr>
          <w:p w:rsidR="00F25140" w:rsidRPr="00276CBD" w:rsidRDefault="00F25140" w:rsidP="003B758F">
            <w:pPr>
              <w:spacing w:line="300" w:lineRule="exact"/>
              <w:jc w:val="center"/>
              <w:rPr>
                <w:rFonts w:ascii="仿宋" w:eastAsia="仿宋" w:hAnsi="仿宋" w:cs="宋体"/>
                <w:szCs w:val="24"/>
              </w:rPr>
            </w:pPr>
            <w:r w:rsidRPr="00276CBD">
              <w:rPr>
                <w:rFonts w:ascii="仿宋" w:eastAsia="仿宋" w:hAnsi="仿宋" w:cs="Times New Roman" w:hint="eastAsia"/>
                <w:szCs w:val="24"/>
              </w:rPr>
              <w:t>香河县供销合作社联合</w:t>
            </w:r>
            <w:r w:rsidRPr="00276CBD">
              <w:rPr>
                <w:rFonts w:ascii="仿宋" w:eastAsia="仿宋" w:hAnsi="仿宋" w:cs="宋体" w:hint="eastAsia"/>
                <w:szCs w:val="24"/>
              </w:rPr>
              <w:t>社</w:t>
            </w:r>
          </w:p>
        </w:tc>
        <w:tc>
          <w:tcPr>
            <w:tcW w:w="1134" w:type="dxa"/>
            <w:shd w:val="clear" w:color="auto" w:fill="auto"/>
            <w:vAlign w:val="center"/>
          </w:tcPr>
          <w:p w:rsidR="00F25140" w:rsidRPr="00276CBD" w:rsidRDefault="00F25140" w:rsidP="00F662B9">
            <w:pPr>
              <w:spacing w:line="300" w:lineRule="exact"/>
              <w:jc w:val="center"/>
              <w:rPr>
                <w:rFonts w:ascii="仿宋" w:eastAsia="仿宋" w:hAnsi="仿宋" w:cs="Times New Roman"/>
                <w:szCs w:val="24"/>
              </w:rPr>
            </w:pPr>
            <w:r w:rsidRPr="00276CBD">
              <w:rPr>
                <w:rFonts w:ascii="仿宋" w:eastAsia="仿宋" w:hAnsi="仿宋" w:cs="Times New Roman" w:hint="eastAsia"/>
                <w:szCs w:val="24"/>
              </w:rPr>
              <w:t>事业</w:t>
            </w:r>
          </w:p>
        </w:tc>
        <w:tc>
          <w:tcPr>
            <w:tcW w:w="1276" w:type="dxa"/>
            <w:shd w:val="clear" w:color="auto" w:fill="auto"/>
            <w:vAlign w:val="center"/>
          </w:tcPr>
          <w:p w:rsidR="00F25140" w:rsidRPr="00276CBD" w:rsidRDefault="00F25140" w:rsidP="003B758F">
            <w:pPr>
              <w:spacing w:line="300" w:lineRule="exact"/>
              <w:jc w:val="center"/>
              <w:rPr>
                <w:rFonts w:ascii="仿宋" w:eastAsia="仿宋" w:hAnsi="仿宋" w:cs="Times New Roman"/>
                <w:szCs w:val="24"/>
              </w:rPr>
            </w:pPr>
            <w:r w:rsidRPr="00276CBD">
              <w:rPr>
                <w:rFonts w:ascii="仿宋" w:eastAsia="仿宋" w:hAnsi="仿宋" w:cs="Times New Roman" w:hint="eastAsia"/>
                <w:szCs w:val="24"/>
              </w:rPr>
              <w:t>正科级</w:t>
            </w:r>
          </w:p>
        </w:tc>
        <w:tc>
          <w:tcPr>
            <w:tcW w:w="2902" w:type="dxa"/>
            <w:shd w:val="clear" w:color="auto" w:fill="auto"/>
            <w:vAlign w:val="center"/>
          </w:tcPr>
          <w:p w:rsidR="00F25140" w:rsidRPr="00276CBD" w:rsidRDefault="00E82B38" w:rsidP="003B758F">
            <w:pPr>
              <w:spacing w:line="300" w:lineRule="exact"/>
              <w:jc w:val="center"/>
              <w:rPr>
                <w:rFonts w:ascii="仿宋" w:eastAsia="仿宋" w:hAnsi="仿宋" w:cs="Times New Roman"/>
                <w:szCs w:val="24"/>
              </w:rPr>
            </w:pPr>
            <w:r>
              <w:rPr>
                <w:rFonts w:ascii="仿宋" w:eastAsia="仿宋" w:hAnsi="仿宋" w:cs="Times New Roman" w:hint="eastAsia"/>
                <w:szCs w:val="24"/>
              </w:rPr>
              <w:t>财政性资金基本保证</w:t>
            </w:r>
          </w:p>
        </w:tc>
      </w:tr>
    </w:tbl>
    <w:p w:rsidR="002D1476" w:rsidRPr="002D1476" w:rsidRDefault="002D1476" w:rsidP="007E1DA8">
      <w:pPr>
        <w:ind w:firstLine="640"/>
        <w:rPr>
          <w:rFonts w:ascii="黑体" w:eastAsia="黑体" w:hAnsi="黑体" w:cs="Times New Roman"/>
          <w:sz w:val="32"/>
          <w:szCs w:val="32"/>
        </w:rPr>
      </w:pPr>
    </w:p>
    <w:p w:rsidR="00F66032" w:rsidRPr="00C24BF5" w:rsidRDefault="007E1DA8"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3E1A7F" w:rsidRPr="00AA71ED" w:rsidRDefault="00776C08" w:rsidP="002D1476">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按照预算管理有关规定，目前我</w:t>
      </w:r>
      <w:r w:rsidR="00F61055" w:rsidRPr="00AA71ED">
        <w:rPr>
          <w:rFonts w:ascii="仿宋" w:eastAsia="仿宋" w:hAnsi="仿宋" w:cs="Times New Roman" w:hint="eastAsia"/>
          <w:sz w:val="32"/>
          <w:szCs w:val="32"/>
        </w:rPr>
        <w:t>县</w:t>
      </w:r>
      <w:r w:rsidRPr="00AA71ED">
        <w:rPr>
          <w:rFonts w:ascii="仿宋" w:eastAsia="仿宋" w:hAnsi="仿宋" w:cs="Times New Roman"/>
          <w:sz w:val="32"/>
          <w:szCs w:val="32"/>
        </w:rPr>
        <w:t>部门预算的编制实行综合预算制度，即全部收入和支出都反映</w:t>
      </w:r>
      <w:r w:rsidR="003E1A7F" w:rsidRPr="00AA71ED">
        <w:rPr>
          <w:rFonts w:ascii="仿宋" w:eastAsia="仿宋" w:hAnsi="仿宋" w:cs="Times New Roman" w:hint="eastAsia"/>
          <w:sz w:val="32"/>
          <w:szCs w:val="32"/>
        </w:rPr>
        <w:t>在</w:t>
      </w:r>
      <w:r w:rsidRPr="00AA71ED">
        <w:rPr>
          <w:rFonts w:ascii="仿宋" w:eastAsia="仿宋" w:hAnsi="仿宋" w:cs="Times New Roman"/>
          <w:sz w:val="32"/>
          <w:szCs w:val="32"/>
        </w:rPr>
        <w:t>预算中。</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1、收入说明</w:t>
      </w:r>
    </w:p>
    <w:p w:rsidR="00803D50" w:rsidRDefault="00776C08" w:rsidP="00776C08">
      <w:pPr>
        <w:ind w:firstLine="640"/>
        <w:rPr>
          <w:rFonts w:ascii="仿宋" w:eastAsia="仿宋" w:hAnsi="仿宋" w:cs="Times New Roman"/>
          <w:sz w:val="32"/>
          <w:szCs w:val="32"/>
        </w:rPr>
      </w:pPr>
      <w:r w:rsidRPr="00AA71ED">
        <w:rPr>
          <w:rFonts w:ascii="仿宋" w:eastAsia="仿宋" w:hAnsi="仿宋" w:cs="Times New Roman"/>
          <w:sz w:val="32"/>
          <w:szCs w:val="32"/>
        </w:rPr>
        <w:t>反映本部门当年全部收入。201</w:t>
      </w:r>
      <w:r w:rsidR="00803D50">
        <w:rPr>
          <w:rFonts w:ascii="仿宋" w:eastAsia="仿宋" w:hAnsi="仿宋" w:cs="Times New Roman" w:hint="eastAsia"/>
          <w:sz w:val="32"/>
          <w:szCs w:val="32"/>
        </w:rPr>
        <w:t>8</w:t>
      </w:r>
      <w:r w:rsidRPr="00AA71ED">
        <w:rPr>
          <w:rFonts w:ascii="仿宋" w:eastAsia="仿宋" w:hAnsi="仿宋" w:cs="Times New Roman"/>
          <w:sz w:val="32"/>
          <w:szCs w:val="32"/>
        </w:rPr>
        <w:t>年预算收入</w:t>
      </w:r>
      <w:r w:rsidR="00803D50">
        <w:rPr>
          <w:rFonts w:ascii="仿宋" w:eastAsia="仿宋" w:hAnsi="仿宋" w:cs="Times New Roman" w:hint="eastAsia"/>
          <w:sz w:val="32"/>
          <w:szCs w:val="32"/>
        </w:rPr>
        <w:t>总额</w:t>
      </w:r>
      <w:r w:rsidR="00F25140">
        <w:rPr>
          <w:rFonts w:ascii="仿宋" w:eastAsia="仿宋" w:hAnsi="仿宋" w:cs="Times New Roman" w:hint="eastAsia"/>
          <w:sz w:val="32"/>
          <w:szCs w:val="32"/>
        </w:rPr>
        <w:t>759.46</w:t>
      </w:r>
      <w:r w:rsidRPr="00AA71ED">
        <w:rPr>
          <w:rFonts w:ascii="仿宋" w:eastAsia="仿宋" w:hAnsi="仿宋" w:cs="Times New Roman"/>
          <w:sz w:val="32"/>
          <w:szCs w:val="32"/>
        </w:rPr>
        <w:t>万元，其中：</w:t>
      </w:r>
      <w:r w:rsidR="00803D50" w:rsidRPr="00A6627D">
        <w:rPr>
          <w:rFonts w:ascii="仿宋" w:eastAsia="仿宋" w:hAnsi="仿宋" w:cs="Times New Roman" w:hint="eastAsia"/>
          <w:sz w:val="32"/>
          <w:szCs w:val="32"/>
        </w:rPr>
        <w:t>财政拨款收入</w:t>
      </w:r>
      <w:r w:rsidR="00F25140">
        <w:rPr>
          <w:rFonts w:ascii="仿宋" w:eastAsia="仿宋" w:hAnsi="仿宋" w:cs="Times New Roman" w:hint="eastAsia"/>
          <w:sz w:val="32"/>
          <w:szCs w:val="32"/>
        </w:rPr>
        <w:t>759.46</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（包括一般公共预算</w:t>
      </w:r>
      <w:r w:rsidR="00F25140">
        <w:rPr>
          <w:rFonts w:ascii="仿宋" w:eastAsia="仿宋" w:hAnsi="仿宋" w:cs="Times New Roman" w:hint="eastAsia"/>
          <w:sz w:val="32"/>
          <w:szCs w:val="32"/>
        </w:rPr>
        <w:t>759.46</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、政府性基金预算</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、国有资本经营预算</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）、上级补助收入</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、事业收入</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、经营收入</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、附属单位上缴收入</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、其他收入</w:t>
      </w:r>
      <w:r w:rsidR="00F25140">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Pr>
          <w:rFonts w:ascii="仿宋" w:eastAsia="仿宋" w:hAnsi="仿宋" w:cs="Times New Roman" w:hint="eastAsia"/>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2、支出说明</w:t>
      </w:r>
    </w:p>
    <w:p w:rsidR="00776C08" w:rsidRPr="00AA71ED" w:rsidRDefault="00776C08" w:rsidP="003C4344">
      <w:pPr>
        <w:ind w:firstLine="640"/>
        <w:rPr>
          <w:rFonts w:ascii="仿宋" w:eastAsia="仿宋" w:hAnsi="仿宋" w:cs="Times New Roman"/>
          <w:sz w:val="32"/>
          <w:szCs w:val="32"/>
        </w:rPr>
      </w:pPr>
      <w:r w:rsidRPr="00AA71ED">
        <w:rPr>
          <w:rFonts w:ascii="仿宋" w:eastAsia="仿宋" w:hAnsi="仿宋" w:cs="Times New Roman"/>
          <w:sz w:val="32"/>
          <w:szCs w:val="32"/>
        </w:rPr>
        <w:lastRenderedPageBreak/>
        <w:t>收支预算总表支出栏、基本支出表、项目支出表按经济分类和支出功能分类科目编制，反映</w:t>
      </w:r>
      <w:r w:rsidR="00F61055" w:rsidRPr="00AA71ED">
        <w:rPr>
          <w:rFonts w:ascii="仿宋" w:eastAsia="仿宋" w:hAnsi="仿宋" w:cs="Times New Roman" w:hint="eastAsia"/>
          <w:sz w:val="32"/>
          <w:szCs w:val="32"/>
        </w:rPr>
        <w:t>香河县</w:t>
      </w:r>
      <w:r w:rsidR="009D4EF7">
        <w:rPr>
          <w:rFonts w:ascii="仿宋" w:eastAsia="仿宋" w:hAnsi="仿宋" w:cs="Times New Roman" w:hint="eastAsia"/>
          <w:sz w:val="32"/>
          <w:szCs w:val="32"/>
        </w:rPr>
        <w:t>供销合作社联合社</w:t>
      </w:r>
      <w:r w:rsidRPr="00AA71ED">
        <w:rPr>
          <w:rFonts w:ascii="仿宋" w:eastAsia="仿宋" w:hAnsi="仿宋" w:cs="Times New Roman"/>
          <w:sz w:val="32"/>
          <w:szCs w:val="32"/>
        </w:rPr>
        <w:t>年度部门预算中支出预算的总体情况。201</w:t>
      </w:r>
      <w:r w:rsidR="005D68FF">
        <w:rPr>
          <w:rFonts w:ascii="仿宋" w:eastAsia="仿宋" w:hAnsi="仿宋" w:cs="Times New Roman" w:hint="eastAsia"/>
          <w:sz w:val="32"/>
          <w:szCs w:val="32"/>
        </w:rPr>
        <w:t>8</w:t>
      </w:r>
      <w:r w:rsidRPr="00AA71ED">
        <w:rPr>
          <w:rFonts w:ascii="仿宋" w:eastAsia="仿宋" w:hAnsi="仿宋" w:cs="Times New Roman"/>
          <w:sz w:val="32"/>
          <w:szCs w:val="32"/>
        </w:rPr>
        <w:t>年支出预算</w:t>
      </w:r>
      <w:r w:rsidR="005C4AFF">
        <w:rPr>
          <w:rFonts w:ascii="仿宋" w:eastAsia="仿宋" w:hAnsi="仿宋" w:cs="Times New Roman" w:hint="eastAsia"/>
          <w:sz w:val="32"/>
          <w:szCs w:val="32"/>
        </w:rPr>
        <w:t>759.46</w:t>
      </w:r>
      <w:r w:rsidRPr="00AA71ED">
        <w:rPr>
          <w:rFonts w:ascii="仿宋" w:eastAsia="仿宋" w:hAnsi="仿宋" w:cs="Times New Roman"/>
          <w:sz w:val="32"/>
          <w:szCs w:val="32"/>
        </w:rPr>
        <w:t>万元，其中基本支出</w:t>
      </w:r>
      <w:r w:rsidR="005C4AFF">
        <w:rPr>
          <w:rFonts w:ascii="仿宋" w:eastAsia="仿宋" w:hAnsi="仿宋" w:cs="Times New Roman" w:hint="eastAsia"/>
          <w:sz w:val="32"/>
          <w:szCs w:val="32"/>
        </w:rPr>
        <w:t>444.27</w:t>
      </w:r>
      <w:r w:rsidRPr="00AA71ED">
        <w:rPr>
          <w:rFonts w:ascii="仿宋" w:eastAsia="仿宋" w:hAnsi="仿宋" w:cs="Times New Roman"/>
          <w:sz w:val="32"/>
          <w:szCs w:val="32"/>
        </w:rPr>
        <w:t>万元，包括人员经费</w:t>
      </w:r>
      <w:r w:rsidR="00B178D7">
        <w:rPr>
          <w:rFonts w:ascii="仿宋" w:eastAsia="仿宋" w:hAnsi="仿宋" w:cs="Times New Roman" w:hint="eastAsia"/>
          <w:sz w:val="32"/>
          <w:szCs w:val="32"/>
        </w:rPr>
        <w:t>411.9万元</w:t>
      </w:r>
      <w:r w:rsidRPr="00AA71ED">
        <w:rPr>
          <w:rFonts w:ascii="仿宋" w:eastAsia="仿宋" w:hAnsi="仿宋" w:cs="Times New Roman"/>
          <w:sz w:val="32"/>
          <w:szCs w:val="32"/>
        </w:rPr>
        <w:t>和日常公用经费</w:t>
      </w:r>
      <w:r w:rsidR="00B178D7">
        <w:rPr>
          <w:rFonts w:ascii="仿宋" w:eastAsia="仿宋" w:hAnsi="仿宋" w:cs="Times New Roman" w:hint="eastAsia"/>
          <w:sz w:val="32"/>
          <w:szCs w:val="32"/>
        </w:rPr>
        <w:t>32.37万元</w:t>
      </w:r>
      <w:r w:rsidRPr="00AA71ED">
        <w:rPr>
          <w:rFonts w:ascii="仿宋" w:eastAsia="仿宋" w:hAnsi="仿宋" w:cs="Times New Roman"/>
          <w:sz w:val="32"/>
          <w:szCs w:val="32"/>
        </w:rPr>
        <w:t>；项目支出</w:t>
      </w:r>
      <w:r w:rsidR="005C4AFF">
        <w:rPr>
          <w:rFonts w:ascii="仿宋" w:eastAsia="仿宋" w:hAnsi="仿宋" w:cs="Times New Roman" w:hint="eastAsia"/>
          <w:sz w:val="32"/>
          <w:szCs w:val="32"/>
        </w:rPr>
        <w:t>315.19</w:t>
      </w:r>
      <w:r w:rsidRPr="00AA71ED">
        <w:rPr>
          <w:rFonts w:ascii="仿宋" w:eastAsia="仿宋" w:hAnsi="仿宋" w:cs="Times New Roman"/>
          <w:sz w:val="32"/>
          <w:szCs w:val="32"/>
        </w:rPr>
        <w:t>万元，包括本级支出</w:t>
      </w:r>
      <w:r w:rsidR="005C4AFF">
        <w:rPr>
          <w:rFonts w:ascii="仿宋" w:eastAsia="仿宋" w:hAnsi="仿宋" w:cs="Times New Roman" w:hint="eastAsia"/>
          <w:sz w:val="32"/>
          <w:szCs w:val="32"/>
        </w:rPr>
        <w:t>315.19</w:t>
      </w:r>
      <w:r w:rsidR="005D68FF" w:rsidRPr="00AA71ED">
        <w:rPr>
          <w:rFonts w:ascii="仿宋" w:eastAsia="仿宋" w:hAnsi="仿宋" w:cs="Times New Roman"/>
          <w:sz w:val="32"/>
          <w:szCs w:val="32"/>
        </w:rPr>
        <w:t>万元</w:t>
      </w:r>
      <w:r w:rsidRPr="00AA71ED">
        <w:rPr>
          <w:rFonts w:ascii="仿宋" w:eastAsia="仿宋" w:hAnsi="仿宋" w:cs="Times New Roman"/>
          <w:sz w:val="32"/>
          <w:szCs w:val="32"/>
        </w:rPr>
        <w:t>和</w:t>
      </w:r>
      <w:r w:rsidRPr="003E23A5">
        <w:rPr>
          <w:rFonts w:ascii="仿宋" w:eastAsia="仿宋" w:hAnsi="仿宋" w:cs="Times New Roman"/>
          <w:sz w:val="32"/>
          <w:szCs w:val="32"/>
        </w:rPr>
        <w:t>对下补助支出</w:t>
      </w:r>
      <w:r w:rsidR="005C4AFF">
        <w:rPr>
          <w:rFonts w:ascii="仿宋" w:eastAsia="仿宋" w:hAnsi="仿宋" w:cs="Times New Roman" w:hint="eastAsia"/>
          <w:sz w:val="32"/>
          <w:szCs w:val="32"/>
        </w:rPr>
        <w:t>0</w:t>
      </w:r>
      <w:r w:rsidR="005D68FF" w:rsidRPr="00AA71ED">
        <w:rPr>
          <w:rFonts w:ascii="仿宋" w:eastAsia="仿宋" w:hAnsi="仿宋" w:cs="Times New Roman"/>
          <w:sz w:val="32"/>
          <w:szCs w:val="32"/>
        </w:rPr>
        <w:t>万元</w:t>
      </w:r>
      <w:r w:rsidRPr="00AA71ED">
        <w:rPr>
          <w:rFonts w:ascii="仿宋" w:eastAsia="仿宋" w:hAnsi="仿宋" w:cs="Times New Roman"/>
          <w:sz w:val="32"/>
          <w:szCs w:val="32"/>
        </w:rPr>
        <w:t>，主要为</w:t>
      </w:r>
      <w:r w:rsidR="003C4344">
        <w:rPr>
          <w:rFonts w:ascii="仿宋" w:eastAsia="仿宋" w:hAnsi="仿宋" w:cs="Times New Roman" w:hint="eastAsia"/>
          <w:sz w:val="32"/>
          <w:szCs w:val="32"/>
        </w:rPr>
        <w:t>产权交易中心注册资金</w:t>
      </w:r>
      <w:r w:rsidR="00573562" w:rsidRPr="00AA71ED">
        <w:rPr>
          <w:rFonts w:ascii="仿宋" w:eastAsia="仿宋" w:hAnsi="仿宋" w:cs="Times New Roman"/>
          <w:sz w:val="32"/>
          <w:szCs w:val="32"/>
        </w:rPr>
        <w:t>、</w:t>
      </w:r>
      <w:r w:rsidR="003C4344" w:rsidRPr="003C4344">
        <w:rPr>
          <w:rFonts w:ascii="仿宋" w:eastAsia="仿宋" w:hAnsi="仿宋" w:cs="Times New Roman" w:hint="eastAsia"/>
          <w:sz w:val="32"/>
          <w:szCs w:val="32"/>
        </w:rPr>
        <w:t>新型职业农民培训</w:t>
      </w:r>
      <w:r w:rsidR="003C4344">
        <w:rPr>
          <w:rFonts w:ascii="仿宋" w:eastAsia="仿宋" w:hAnsi="仿宋" w:cs="Times New Roman" w:hint="eastAsia"/>
          <w:sz w:val="32"/>
          <w:szCs w:val="32"/>
        </w:rPr>
        <w:t>费</w:t>
      </w:r>
      <w:r w:rsidRPr="00AA71ED">
        <w:rPr>
          <w:rFonts w:ascii="仿宋" w:eastAsia="仿宋" w:hAnsi="仿宋" w:cs="Times New Roman"/>
          <w:sz w:val="32"/>
          <w:szCs w:val="32"/>
        </w:rPr>
        <w:t>、</w:t>
      </w:r>
      <w:r w:rsidR="003C4344">
        <w:rPr>
          <w:rFonts w:ascii="仿宋" w:eastAsia="仿宋" w:hAnsi="仿宋" w:cs="Times New Roman" w:hint="eastAsia"/>
          <w:sz w:val="32"/>
          <w:szCs w:val="32"/>
        </w:rPr>
        <w:t>土产业务费</w:t>
      </w:r>
      <w:r w:rsidRPr="00AA71ED">
        <w:rPr>
          <w:rFonts w:ascii="仿宋" w:eastAsia="仿宋" w:hAnsi="仿宋" w:cs="Times New Roman"/>
          <w:sz w:val="32"/>
          <w:szCs w:val="32"/>
        </w:rPr>
        <w:t>等；</w:t>
      </w:r>
      <w:r w:rsidR="000C3A19" w:rsidRPr="00AA71ED">
        <w:rPr>
          <w:rFonts w:ascii="仿宋" w:eastAsia="仿宋" w:hAnsi="仿宋" w:cs="Times New Roman"/>
          <w:sz w:val="32"/>
          <w:szCs w:val="32"/>
        </w:rPr>
        <w:t>上缴上级支出</w:t>
      </w:r>
      <w:r w:rsidR="005C4AFF">
        <w:rPr>
          <w:rFonts w:ascii="仿宋" w:eastAsia="仿宋" w:hAnsi="仿宋" w:cs="Times New Roman" w:hint="eastAsia"/>
          <w:sz w:val="32"/>
          <w:szCs w:val="32"/>
        </w:rPr>
        <w:t>0</w:t>
      </w:r>
      <w:r w:rsidR="000C3A19" w:rsidRPr="00AA71ED">
        <w:rPr>
          <w:rFonts w:ascii="仿宋" w:eastAsia="仿宋" w:hAnsi="仿宋" w:cs="Times New Roman"/>
          <w:sz w:val="32"/>
          <w:szCs w:val="32"/>
        </w:rPr>
        <w:t>万元；</w:t>
      </w:r>
      <w:r w:rsidR="008B3CC5" w:rsidRPr="00AA71ED">
        <w:rPr>
          <w:rFonts w:ascii="仿宋" w:eastAsia="仿宋" w:hAnsi="仿宋" w:cs="Times New Roman"/>
          <w:sz w:val="32"/>
          <w:szCs w:val="32"/>
        </w:rPr>
        <w:t>其他</w:t>
      </w:r>
      <w:r w:rsidR="000C3A19" w:rsidRPr="00AA71ED">
        <w:rPr>
          <w:rFonts w:ascii="仿宋" w:eastAsia="仿宋" w:hAnsi="仿宋" w:cs="Times New Roman"/>
          <w:sz w:val="32"/>
          <w:szCs w:val="32"/>
        </w:rPr>
        <w:t>支出</w:t>
      </w:r>
      <w:r w:rsidR="005C4AFF">
        <w:rPr>
          <w:rFonts w:ascii="仿宋" w:eastAsia="仿宋" w:hAnsi="仿宋" w:cs="Times New Roman" w:hint="eastAsia"/>
          <w:sz w:val="32"/>
          <w:szCs w:val="32"/>
        </w:rPr>
        <w:t>0</w:t>
      </w:r>
      <w:r w:rsidR="005C4AFF">
        <w:rPr>
          <w:rFonts w:ascii="仿宋" w:eastAsia="仿宋" w:hAnsi="仿宋" w:cs="Times New Roman"/>
          <w:sz w:val="32"/>
          <w:szCs w:val="32"/>
        </w:rPr>
        <w:t>万元</w:t>
      </w:r>
      <w:r w:rsidR="004E74CD" w:rsidRPr="00AA71ED">
        <w:rPr>
          <w:rFonts w:ascii="仿宋" w:eastAsia="仿宋" w:hAnsi="仿宋" w:cs="Times New Roman"/>
          <w:sz w:val="32"/>
          <w:szCs w:val="32"/>
        </w:rPr>
        <w:t>。</w:t>
      </w:r>
    </w:p>
    <w:p w:rsidR="00776C08" w:rsidRPr="00093D80" w:rsidRDefault="00776C08" w:rsidP="00E16BFB">
      <w:pPr>
        <w:ind w:firstLineChars="250" w:firstLine="803"/>
        <w:rPr>
          <w:rFonts w:ascii="楷体" w:eastAsia="楷体" w:hAnsi="楷体" w:cs="Times New Roman"/>
          <w:b/>
          <w:sz w:val="32"/>
          <w:szCs w:val="32"/>
        </w:rPr>
      </w:pPr>
      <w:r w:rsidRPr="00093D80">
        <w:rPr>
          <w:rFonts w:ascii="楷体" w:eastAsia="楷体" w:hAnsi="楷体" w:cs="Times New Roman"/>
          <w:b/>
          <w:sz w:val="32"/>
          <w:szCs w:val="32"/>
        </w:rPr>
        <w:t>3、比上年增减情况</w:t>
      </w:r>
    </w:p>
    <w:p w:rsidR="00776C08" w:rsidRPr="00AA71ED" w:rsidRDefault="005D68FF" w:rsidP="00E16BFB">
      <w:pPr>
        <w:ind w:firstLineChars="250" w:firstLine="800"/>
        <w:rPr>
          <w:rFonts w:ascii="仿宋" w:eastAsia="仿宋" w:hAnsi="仿宋" w:cs="Times New Roman"/>
          <w:sz w:val="32"/>
          <w:szCs w:val="32"/>
        </w:rPr>
      </w:pPr>
      <w:r>
        <w:rPr>
          <w:rFonts w:ascii="仿宋" w:eastAsia="仿宋" w:hAnsi="仿宋" w:cs="Times New Roman"/>
          <w:sz w:val="32"/>
          <w:szCs w:val="32"/>
        </w:rPr>
        <w:t>2018年</w:t>
      </w:r>
      <w:r w:rsidR="00776C08" w:rsidRPr="00AA71ED">
        <w:rPr>
          <w:rFonts w:ascii="仿宋" w:eastAsia="仿宋" w:hAnsi="仿宋" w:cs="Times New Roman"/>
          <w:sz w:val="32"/>
          <w:szCs w:val="32"/>
        </w:rPr>
        <w:t>预算收支安排</w:t>
      </w:r>
      <w:r w:rsidR="005C4AFF">
        <w:rPr>
          <w:rFonts w:ascii="仿宋" w:eastAsia="仿宋" w:hAnsi="仿宋" w:cs="Times New Roman" w:hint="eastAsia"/>
          <w:sz w:val="32"/>
          <w:szCs w:val="32"/>
        </w:rPr>
        <w:t>759.46</w:t>
      </w:r>
      <w:r w:rsidR="00776C08" w:rsidRPr="00AA71ED">
        <w:rPr>
          <w:rFonts w:ascii="仿宋" w:eastAsia="仿宋" w:hAnsi="仿宋" w:cs="Times New Roman"/>
          <w:sz w:val="32"/>
          <w:szCs w:val="32"/>
        </w:rPr>
        <w:t>万元，较</w:t>
      </w:r>
      <w:r>
        <w:rPr>
          <w:rFonts w:ascii="仿宋" w:eastAsia="仿宋" w:hAnsi="仿宋" w:cs="Times New Roman"/>
          <w:sz w:val="32"/>
          <w:szCs w:val="32"/>
        </w:rPr>
        <w:t>2017年</w:t>
      </w:r>
      <w:r w:rsidR="00776C08" w:rsidRPr="00AA71ED">
        <w:rPr>
          <w:rFonts w:ascii="仿宋" w:eastAsia="仿宋" w:hAnsi="仿宋" w:cs="Times New Roman"/>
          <w:sz w:val="32"/>
          <w:szCs w:val="32"/>
        </w:rPr>
        <w:t>预算</w:t>
      </w:r>
      <w:r w:rsidR="00776C08" w:rsidRPr="00180F63">
        <w:rPr>
          <w:rFonts w:ascii="仿宋" w:eastAsia="仿宋" w:hAnsi="仿宋" w:cs="Times New Roman"/>
          <w:sz w:val="32"/>
          <w:szCs w:val="32"/>
        </w:rPr>
        <w:t>增加</w:t>
      </w:r>
      <w:r w:rsidR="00F672F5">
        <w:rPr>
          <w:rFonts w:ascii="仿宋" w:eastAsia="仿宋" w:hAnsi="仿宋" w:cs="Times New Roman" w:hint="eastAsia"/>
          <w:sz w:val="32"/>
          <w:szCs w:val="32"/>
        </w:rPr>
        <w:t>98</w:t>
      </w:r>
      <w:r w:rsidR="00776C08" w:rsidRPr="00AA71ED">
        <w:rPr>
          <w:rFonts w:ascii="仿宋" w:eastAsia="仿宋" w:hAnsi="仿宋" w:cs="Times New Roman"/>
          <w:sz w:val="32"/>
          <w:szCs w:val="32"/>
        </w:rPr>
        <w:t>万元，其中：基本支出</w:t>
      </w:r>
      <w:r w:rsidR="00776C08" w:rsidRPr="00180F63">
        <w:rPr>
          <w:rFonts w:ascii="仿宋" w:eastAsia="仿宋" w:hAnsi="仿宋" w:cs="Times New Roman"/>
          <w:sz w:val="32"/>
          <w:szCs w:val="32"/>
        </w:rPr>
        <w:t>增加</w:t>
      </w:r>
      <w:r w:rsidR="00F672F5">
        <w:rPr>
          <w:rFonts w:ascii="仿宋" w:eastAsia="仿宋" w:hAnsi="仿宋" w:cs="Times New Roman" w:hint="eastAsia"/>
          <w:sz w:val="32"/>
          <w:szCs w:val="32"/>
        </w:rPr>
        <w:t>143.02</w:t>
      </w:r>
      <w:r w:rsidR="00776C08" w:rsidRPr="00AA71ED">
        <w:rPr>
          <w:rFonts w:ascii="仿宋" w:eastAsia="仿宋" w:hAnsi="仿宋" w:cs="Times New Roman"/>
          <w:sz w:val="32"/>
          <w:szCs w:val="32"/>
        </w:rPr>
        <w:t>万元，主要为</w:t>
      </w:r>
      <w:r w:rsidR="00776C08" w:rsidRPr="00180F63">
        <w:rPr>
          <w:rFonts w:ascii="仿宋" w:eastAsia="仿宋" w:hAnsi="仿宋" w:cs="Times New Roman"/>
          <w:sz w:val="32"/>
          <w:szCs w:val="32"/>
        </w:rPr>
        <w:t>增加人员经费支出</w:t>
      </w:r>
      <w:r w:rsidR="00776C08" w:rsidRPr="00AA71ED">
        <w:rPr>
          <w:rFonts w:ascii="仿宋" w:eastAsia="仿宋" w:hAnsi="仿宋" w:cs="Times New Roman"/>
          <w:sz w:val="32"/>
          <w:szCs w:val="32"/>
        </w:rPr>
        <w:t>；项目支出</w:t>
      </w:r>
      <w:r w:rsidR="00F672F5">
        <w:rPr>
          <w:rFonts w:ascii="仿宋" w:eastAsia="仿宋" w:hAnsi="仿宋" w:cs="Times New Roman" w:hint="eastAsia"/>
          <w:sz w:val="32"/>
          <w:szCs w:val="32"/>
        </w:rPr>
        <w:t>减少45.02</w:t>
      </w:r>
      <w:r w:rsidR="00776C08" w:rsidRPr="00AA71ED">
        <w:rPr>
          <w:rFonts w:ascii="仿宋" w:eastAsia="仿宋" w:hAnsi="仿宋" w:cs="Times New Roman"/>
          <w:sz w:val="32"/>
          <w:szCs w:val="32"/>
        </w:rPr>
        <w:t>万元，主要为</w:t>
      </w:r>
      <w:r w:rsidR="003C4344">
        <w:rPr>
          <w:rFonts w:ascii="仿宋" w:eastAsia="仿宋" w:hAnsi="仿宋" w:cs="Times New Roman" w:hint="eastAsia"/>
          <w:sz w:val="32"/>
          <w:szCs w:val="32"/>
        </w:rPr>
        <w:t>新型职业农民培训费</w:t>
      </w:r>
      <w:r w:rsidR="00776C08" w:rsidRPr="00AA71ED">
        <w:rPr>
          <w:rFonts w:ascii="仿宋" w:eastAsia="仿宋" w:hAnsi="仿宋" w:cs="Times New Roman"/>
          <w:sz w:val="32"/>
          <w:szCs w:val="32"/>
        </w:rPr>
        <w:t>项目支出。</w:t>
      </w:r>
    </w:p>
    <w:p w:rsidR="00F66032" w:rsidRPr="00C24BF5" w:rsidRDefault="00F66032" w:rsidP="004E638E">
      <w:pPr>
        <w:ind w:firstLineChars="221" w:firstLine="707"/>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8E4261" w:rsidRPr="00C720E3" w:rsidRDefault="00C720E3" w:rsidP="004E638E">
      <w:pPr>
        <w:autoSpaceDE w:val="0"/>
        <w:autoSpaceDN w:val="0"/>
        <w:adjustRightInd w:val="0"/>
        <w:ind w:firstLineChars="221" w:firstLine="707"/>
        <w:jc w:val="left"/>
        <w:rPr>
          <w:rFonts w:ascii="仿宋" w:eastAsia="仿宋" w:hAnsi="仿宋" w:cs="Times New Roman"/>
          <w:color w:val="FF0000"/>
          <w:sz w:val="32"/>
          <w:szCs w:val="32"/>
        </w:rPr>
      </w:pPr>
      <w:r>
        <w:rPr>
          <w:rFonts w:ascii="仿宋" w:eastAsia="仿宋" w:hAnsi="仿宋" w:cs="Times New Roman"/>
          <w:sz w:val="32"/>
          <w:szCs w:val="32"/>
        </w:rPr>
        <w:t>2018年</w:t>
      </w:r>
      <w:r w:rsidR="008E4261" w:rsidRPr="00AA71ED">
        <w:rPr>
          <w:rFonts w:ascii="仿宋" w:eastAsia="仿宋" w:hAnsi="仿宋" w:cs="Times New Roman"/>
          <w:sz w:val="32"/>
          <w:szCs w:val="32"/>
        </w:rPr>
        <w:t>机关</w:t>
      </w:r>
      <w:r w:rsidR="00CD2773" w:rsidRPr="00AA71ED">
        <w:rPr>
          <w:rFonts w:ascii="仿宋" w:eastAsia="仿宋" w:hAnsi="仿宋" w:cs="Times New Roman" w:hint="eastAsia"/>
          <w:sz w:val="32"/>
          <w:szCs w:val="32"/>
        </w:rPr>
        <w:t>运行经费共计安排</w:t>
      </w:r>
      <w:r w:rsidR="00F672F5">
        <w:rPr>
          <w:rFonts w:ascii="仿宋" w:eastAsia="仿宋" w:hAnsi="仿宋" w:cs="Times New Roman" w:hint="eastAsia"/>
          <w:sz w:val="32"/>
          <w:szCs w:val="32"/>
        </w:rPr>
        <w:t>32.37</w:t>
      </w:r>
      <w:r w:rsidR="00B43238" w:rsidRPr="00AA71ED">
        <w:rPr>
          <w:rFonts w:ascii="仿宋" w:eastAsia="仿宋" w:hAnsi="仿宋" w:cs="Times New Roman" w:hint="eastAsia"/>
          <w:sz w:val="32"/>
          <w:szCs w:val="32"/>
        </w:rPr>
        <w:t>万元</w:t>
      </w:r>
      <w:r w:rsidR="008E4261" w:rsidRPr="00AA71ED">
        <w:rPr>
          <w:rFonts w:ascii="仿宋" w:eastAsia="仿宋" w:hAnsi="仿宋" w:cs="Times New Roman"/>
          <w:sz w:val="32"/>
          <w:szCs w:val="32"/>
        </w:rPr>
        <w:t>，主要用于办公区</w:t>
      </w:r>
      <w:r w:rsidR="00451871" w:rsidRPr="00AA71ED">
        <w:rPr>
          <w:rFonts w:ascii="仿宋" w:eastAsia="仿宋" w:hAnsi="仿宋" w:cs="Times New Roman" w:hint="eastAsia"/>
          <w:sz w:val="32"/>
          <w:szCs w:val="32"/>
        </w:rPr>
        <w:t>的</w:t>
      </w:r>
      <w:r w:rsidR="00451871" w:rsidRPr="00AA71ED">
        <w:rPr>
          <w:rFonts w:ascii="仿宋" w:eastAsia="仿宋" w:hAnsi="仿宋" w:cs="Times New Roman"/>
          <w:sz w:val="32"/>
          <w:szCs w:val="32"/>
        </w:rPr>
        <w:t>日常维修、办公用房水电费、办公用房取暖费、办公用房物业管理费</w:t>
      </w:r>
      <w:r w:rsidR="00451871" w:rsidRPr="00AA71ED">
        <w:rPr>
          <w:rFonts w:ascii="仿宋" w:eastAsia="仿宋" w:hAnsi="仿宋" w:cs="Times New Roman" w:hint="eastAsia"/>
          <w:sz w:val="32"/>
          <w:szCs w:val="32"/>
        </w:rPr>
        <w:t>等</w:t>
      </w:r>
      <w:r w:rsidR="008E4261" w:rsidRPr="00AA71ED">
        <w:rPr>
          <w:rFonts w:ascii="仿宋" w:eastAsia="仿宋" w:hAnsi="仿宋" w:cs="Times New Roman"/>
          <w:sz w:val="32"/>
          <w:szCs w:val="32"/>
        </w:rPr>
        <w:t>日常运行支出。</w:t>
      </w:r>
    </w:p>
    <w:p w:rsidR="00F66032" w:rsidRPr="00C24BF5" w:rsidRDefault="00F66032" w:rsidP="004E638E">
      <w:pPr>
        <w:ind w:firstLineChars="221" w:firstLine="707"/>
        <w:rPr>
          <w:rFonts w:ascii="黑体" w:eastAsia="黑体" w:hAnsi="黑体" w:cs="Times New Roman"/>
          <w:sz w:val="32"/>
          <w:szCs w:val="32"/>
        </w:rPr>
      </w:pPr>
      <w:r w:rsidRPr="00C24BF5">
        <w:rPr>
          <w:rFonts w:ascii="黑体" w:eastAsia="黑体" w:hAnsi="黑体" w:cs="Times New Roman" w:hint="eastAsia"/>
          <w:sz w:val="32"/>
          <w:szCs w:val="32"/>
        </w:rPr>
        <w:t>四、财政拨款</w:t>
      </w:r>
      <w:r w:rsidRPr="00C24BF5">
        <w:rPr>
          <w:rFonts w:ascii="黑体" w:eastAsia="黑体" w:hAnsi="黑体" w:cs="Times New Roman"/>
          <w:sz w:val="32"/>
          <w:szCs w:val="32"/>
        </w:rPr>
        <w:t>“</w:t>
      </w:r>
      <w:r w:rsidRPr="00C24BF5">
        <w:rPr>
          <w:rFonts w:ascii="黑体" w:eastAsia="黑体" w:hAnsi="黑体" w:cs="Times New Roman" w:hint="eastAsia"/>
          <w:sz w:val="32"/>
          <w:szCs w:val="32"/>
        </w:rPr>
        <w:t>三公</w:t>
      </w:r>
      <w:r w:rsidRPr="00C24BF5">
        <w:rPr>
          <w:rFonts w:ascii="黑体" w:eastAsia="黑体" w:hAnsi="黑体" w:cs="Times New Roman"/>
          <w:sz w:val="32"/>
          <w:szCs w:val="32"/>
        </w:rPr>
        <w:t>”</w:t>
      </w:r>
      <w:r w:rsidRPr="00C24BF5">
        <w:rPr>
          <w:rFonts w:ascii="黑体" w:eastAsia="黑体" w:hAnsi="黑体" w:cs="Times New Roman" w:hint="eastAsia"/>
          <w:sz w:val="32"/>
          <w:szCs w:val="32"/>
        </w:rPr>
        <w:t>经费预算情况</w:t>
      </w:r>
      <w:r w:rsidR="00A72D2E" w:rsidRPr="00C24BF5">
        <w:rPr>
          <w:rFonts w:ascii="黑体" w:eastAsia="黑体" w:hAnsi="黑体" w:cs="Times New Roman" w:hint="eastAsia"/>
          <w:sz w:val="32"/>
          <w:szCs w:val="32"/>
        </w:rPr>
        <w:t>及增减变化原因</w:t>
      </w:r>
    </w:p>
    <w:p w:rsidR="003E23A5" w:rsidRPr="00C720E3" w:rsidRDefault="005D68FF" w:rsidP="004E638E">
      <w:pPr>
        <w:autoSpaceDE w:val="0"/>
        <w:autoSpaceDN w:val="0"/>
        <w:adjustRightInd w:val="0"/>
        <w:ind w:firstLineChars="221" w:firstLine="707"/>
        <w:jc w:val="left"/>
        <w:rPr>
          <w:rFonts w:ascii="仿宋" w:eastAsia="仿宋" w:hAnsi="仿宋" w:cs="Times New Roman"/>
          <w:color w:val="FF0000"/>
          <w:sz w:val="32"/>
          <w:szCs w:val="32"/>
        </w:rPr>
      </w:pPr>
      <w:r>
        <w:rPr>
          <w:rFonts w:ascii="仿宋" w:eastAsia="仿宋" w:hAnsi="仿宋" w:cs="Times New Roman"/>
          <w:sz w:val="32"/>
          <w:szCs w:val="32"/>
        </w:rPr>
        <w:t>2018年</w:t>
      </w:r>
      <w:r w:rsidR="00FD2081" w:rsidRPr="00AA71ED">
        <w:rPr>
          <w:rFonts w:ascii="仿宋" w:eastAsia="仿宋" w:hAnsi="仿宋" w:cs="Times New Roman"/>
          <w:sz w:val="32"/>
          <w:szCs w:val="32"/>
        </w:rPr>
        <w:t>，</w:t>
      </w:r>
      <w:r w:rsidR="00FD2081" w:rsidRPr="00AA71ED">
        <w:rPr>
          <w:rFonts w:ascii="仿宋" w:eastAsia="仿宋" w:hAnsi="仿宋" w:cs="Times New Roman" w:hint="eastAsia"/>
          <w:sz w:val="32"/>
          <w:szCs w:val="32"/>
        </w:rPr>
        <w:t>本部门</w:t>
      </w:r>
      <w:r w:rsidR="00FD2081" w:rsidRPr="00AA71ED">
        <w:rPr>
          <w:rFonts w:ascii="仿宋" w:eastAsia="仿宋" w:hAnsi="仿宋" w:cs="Times New Roman"/>
          <w:sz w:val="32"/>
          <w:szCs w:val="32"/>
        </w:rPr>
        <w:t xml:space="preserve"> </w:t>
      </w:r>
      <w:r w:rsidR="002F3E58" w:rsidRPr="00AA71ED">
        <w:rPr>
          <w:rFonts w:ascii="仿宋" w:eastAsia="仿宋" w:hAnsi="仿宋" w:cs="Times New Roman"/>
          <w:sz w:val="32"/>
          <w:szCs w:val="32"/>
        </w:rPr>
        <w:t>“三公”经费预算</w:t>
      </w:r>
      <w:r w:rsidR="00EC47F6" w:rsidRPr="00AA71ED">
        <w:rPr>
          <w:rFonts w:ascii="仿宋" w:eastAsia="仿宋" w:hAnsi="仿宋" w:cs="Times New Roman"/>
          <w:sz w:val="32"/>
          <w:szCs w:val="32"/>
        </w:rPr>
        <w:t>安排</w:t>
      </w:r>
      <w:r w:rsidR="00806E39">
        <w:rPr>
          <w:rFonts w:ascii="仿宋" w:eastAsia="仿宋" w:hAnsi="仿宋" w:cs="Times New Roman" w:hint="eastAsia"/>
          <w:sz w:val="32"/>
          <w:szCs w:val="32"/>
        </w:rPr>
        <w:t>1.9</w:t>
      </w:r>
      <w:r w:rsidR="00EC47F6" w:rsidRPr="00AA71ED">
        <w:rPr>
          <w:rFonts w:ascii="仿宋" w:eastAsia="仿宋" w:hAnsi="仿宋" w:cs="Times New Roman"/>
          <w:sz w:val="32"/>
          <w:szCs w:val="32"/>
        </w:rPr>
        <w:t>万元</w:t>
      </w:r>
      <w:r w:rsidR="00C720E3" w:rsidRPr="00A6627D">
        <w:rPr>
          <w:rFonts w:ascii="方正仿宋_GBK" w:eastAsia="方正仿宋_GBK" w:hAnsi="Simsun" w:cs="宋体" w:hint="eastAsia"/>
          <w:color w:val="000000"/>
          <w:kern w:val="0"/>
          <w:sz w:val="32"/>
          <w:szCs w:val="32"/>
        </w:rPr>
        <w:t>（</w:t>
      </w:r>
      <w:r w:rsidR="00C720E3" w:rsidRPr="00A6627D">
        <w:rPr>
          <w:rFonts w:ascii="仿宋" w:eastAsia="仿宋" w:hAnsi="仿宋" w:cs="Times New Roman" w:hint="eastAsia"/>
          <w:sz w:val="32"/>
          <w:szCs w:val="32"/>
        </w:rPr>
        <w:t>包括一般公共预算</w:t>
      </w:r>
      <w:r w:rsidR="00806E39">
        <w:rPr>
          <w:rFonts w:ascii="仿宋" w:eastAsia="仿宋" w:hAnsi="仿宋" w:cs="Times New Roman" w:hint="eastAsia"/>
          <w:sz w:val="32"/>
          <w:szCs w:val="32"/>
        </w:rPr>
        <w:t>1.9</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、政府性基金预算</w:t>
      </w:r>
      <w:r w:rsidR="00F672F5">
        <w:rPr>
          <w:rFonts w:ascii="仿宋" w:eastAsia="仿宋" w:hAnsi="仿宋" w:cs="Times New Roman" w:hint="eastAsia"/>
          <w:sz w:val="32"/>
          <w:szCs w:val="32"/>
        </w:rPr>
        <w:lastRenderedPageBreak/>
        <w:t>0</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、国有资本经营预算</w:t>
      </w:r>
      <w:r w:rsidR="00F672F5">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和财政专户核拨资金</w:t>
      </w:r>
      <w:r w:rsidR="00F672F5">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方正仿宋_GBK" w:eastAsia="方正仿宋_GBK" w:hAnsi="Simsun" w:cs="宋体" w:hint="eastAsia"/>
          <w:color w:val="000000"/>
          <w:kern w:val="0"/>
          <w:sz w:val="32"/>
          <w:szCs w:val="32"/>
        </w:rPr>
        <w:t>）</w:t>
      </w:r>
      <w:r w:rsidR="000F298A">
        <w:rPr>
          <w:rFonts w:ascii="方正仿宋_GBK" w:eastAsia="方正仿宋_GBK" w:hAnsi="Simsun" w:cs="宋体" w:hint="eastAsia"/>
          <w:color w:val="000000"/>
          <w:kern w:val="0"/>
          <w:sz w:val="32"/>
          <w:szCs w:val="32"/>
        </w:rPr>
        <w:t>：</w:t>
      </w:r>
      <w:r w:rsidR="00EC47F6" w:rsidRPr="00AA71ED">
        <w:rPr>
          <w:rFonts w:ascii="仿宋" w:eastAsia="仿宋" w:hAnsi="仿宋" w:cs="Times New Roman"/>
          <w:sz w:val="32"/>
          <w:szCs w:val="32"/>
        </w:rPr>
        <w:t>其中因公出国（境）费</w:t>
      </w:r>
      <w:r w:rsidR="00F672F5">
        <w:rPr>
          <w:rFonts w:ascii="仿宋" w:eastAsia="仿宋" w:hAnsi="仿宋" w:cs="Times New Roman" w:hint="eastAsia"/>
          <w:sz w:val="32"/>
          <w:szCs w:val="32"/>
        </w:rPr>
        <w:t>0</w:t>
      </w:r>
      <w:r w:rsidR="00EC47F6" w:rsidRPr="00AA71ED">
        <w:rPr>
          <w:rFonts w:ascii="仿宋" w:eastAsia="仿宋" w:hAnsi="仿宋" w:cs="Times New Roman"/>
          <w:sz w:val="32"/>
          <w:szCs w:val="32"/>
        </w:rPr>
        <w:t>万元</w:t>
      </w:r>
      <w:r w:rsidR="00806E39">
        <w:rPr>
          <w:rFonts w:ascii="仿宋" w:eastAsia="仿宋" w:hAnsi="仿宋" w:cs="Times New Roman" w:hint="eastAsia"/>
          <w:sz w:val="32"/>
          <w:szCs w:val="32"/>
        </w:rPr>
        <w:t>，与2017年持平</w:t>
      </w:r>
      <w:r w:rsidR="007751AA">
        <w:rPr>
          <w:rFonts w:ascii="仿宋" w:eastAsia="仿宋" w:hAnsi="仿宋" w:cs="Times New Roman"/>
          <w:sz w:val="32"/>
          <w:szCs w:val="32"/>
        </w:rPr>
        <w:t>,</w:t>
      </w:r>
      <w:r w:rsidR="007751AA">
        <w:rPr>
          <w:rFonts w:ascii="仿宋" w:eastAsia="仿宋" w:hAnsi="仿宋" w:cs="Times New Roman" w:hint="eastAsia"/>
          <w:sz w:val="32"/>
          <w:szCs w:val="32"/>
        </w:rPr>
        <w:t>无增减变动</w:t>
      </w:r>
      <w:r w:rsidR="000F298A">
        <w:rPr>
          <w:rFonts w:ascii="仿宋" w:eastAsia="仿宋" w:hAnsi="仿宋" w:cs="Times New Roman" w:hint="eastAsia"/>
          <w:sz w:val="32"/>
          <w:szCs w:val="32"/>
        </w:rPr>
        <w:t>，主要原因是无此项预算安排，无此项支出</w:t>
      </w:r>
      <w:r w:rsidR="00EC47F6" w:rsidRPr="00AA71ED">
        <w:rPr>
          <w:rFonts w:ascii="仿宋" w:eastAsia="仿宋" w:hAnsi="仿宋" w:cs="Times New Roman"/>
          <w:sz w:val="32"/>
          <w:szCs w:val="32"/>
        </w:rPr>
        <w:t>；公务用车购置及运维费</w:t>
      </w:r>
      <w:r w:rsidR="00F672F5">
        <w:rPr>
          <w:rFonts w:ascii="仿宋" w:eastAsia="仿宋" w:hAnsi="仿宋" w:cs="Times New Roman" w:hint="eastAsia"/>
          <w:sz w:val="32"/>
          <w:szCs w:val="32"/>
        </w:rPr>
        <w:t>1.9</w:t>
      </w:r>
      <w:r w:rsidR="00EC47F6" w:rsidRPr="00AA71ED">
        <w:rPr>
          <w:rFonts w:ascii="仿宋" w:eastAsia="仿宋" w:hAnsi="仿宋" w:cs="Times New Roman"/>
          <w:sz w:val="32"/>
          <w:szCs w:val="32"/>
        </w:rPr>
        <w:t>万元（其中：公务用车购置费为</w:t>
      </w:r>
      <w:r w:rsidR="00F672F5">
        <w:rPr>
          <w:rFonts w:ascii="仿宋" w:eastAsia="仿宋" w:hAnsi="仿宋" w:cs="Times New Roman" w:hint="eastAsia"/>
          <w:sz w:val="32"/>
          <w:szCs w:val="32"/>
        </w:rPr>
        <w:t>0</w:t>
      </w:r>
      <w:r w:rsidR="00806E39">
        <w:rPr>
          <w:rFonts w:ascii="仿宋" w:eastAsia="仿宋" w:hAnsi="仿宋" w:cs="Times New Roman" w:hint="eastAsia"/>
          <w:sz w:val="32"/>
          <w:szCs w:val="32"/>
        </w:rPr>
        <w:t>万元</w:t>
      </w:r>
      <w:r w:rsidR="00EC47F6" w:rsidRPr="00AA71ED">
        <w:rPr>
          <w:rFonts w:ascii="仿宋" w:eastAsia="仿宋" w:hAnsi="仿宋" w:cs="Times New Roman"/>
          <w:sz w:val="32"/>
          <w:szCs w:val="32"/>
        </w:rPr>
        <w:t>，公务用车运行费</w:t>
      </w:r>
      <w:r w:rsidR="00F672F5">
        <w:rPr>
          <w:rFonts w:ascii="仿宋" w:eastAsia="仿宋" w:hAnsi="仿宋" w:cs="Times New Roman" w:hint="eastAsia"/>
          <w:sz w:val="32"/>
          <w:szCs w:val="32"/>
        </w:rPr>
        <w:t>1.9</w:t>
      </w:r>
      <w:r w:rsidR="00EC47F6" w:rsidRPr="00AA71ED">
        <w:rPr>
          <w:rFonts w:ascii="仿宋" w:eastAsia="仿宋" w:hAnsi="仿宋" w:cs="Times New Roman"/>
          <w:sz w:val="32"/>
          <w:szCs w:val="32"/>
        </w:rPr>
        <w:t>万元)</w:t>
      </w:r>
      <w:r w:rsidR="00A662E9">
        <w:rPr>
          <w:rFonts w:ascii="仿宋" w:eastAsia="仿宋" w:hAnsi="仿宋" w:cs="Times New Roman" w:hint="eastAsia"/>
          <w:sz w:val="32"/>
          <w:szCs w:val="32"/>
        </w:rPr>
        <w:t>，</w:t>
      </w:r>
      <w:r w:rsidR="00F672F5">
        <w:rPr>
          <w:rFonts w:ascii="仿宋" w:eastAsia="仿宋" w:hAnsi="仿宋" w:cs="Times New Roman" w:hint="eastAsia"/>
          <w:sz w:val="32"/>
          <w:szCs w:val="32"/>
        </w:rPr>
        <w:t>比</w:t>
      </w:r>
      <w:r w:rsidR="00A662E9">
        <w:rPr>
          <w:rFonts w:ascii="仿宋" w:eastAsia="仿宋" w:hAnsi="仿宋" w:cs="Times New Roman"/>
          <w:sz w:val="32"/>
          <w:szCs w:val="32"/>
        </w:rPr>
        <w:t>2017年</w:t>
      </w:r>
      <w:r w:rsidR="00F672F5">
        <w:rPr>
          <w:rFonts w:ascii="仿宋" w:eastAsia="仿宋" w:hAnsi="仿宋" w:cs="Times New Roman" w:hint="eastAsia"/>
          <w:sz w:val="32"/>
          <w:szCs w:val="32"/>
        </w:rPr>
        <w:t>减少3.13</w:t>
      </w:r>
      <w:r w:rsidR="00806E39">
        <w:rPr>
          <w:rFonts w:ascii="仿宋" w:eastAsia="仿宋" w:hAnsi="仿宋" w:cs="Times New Roman" w:hint="eastAsia"/>
          <w:sz w:val="32"/>
          <w:szCs w:val="32"/>
        </w:rPr>
        <w:t>万元，主要原因是</w:t>
      </w:r>
      <w:r w:rsidR="00806E39" w:rsidRPr="00806E39">
        <w:rPr>
          <w:rFonts w:ascii="仿宋" w:eastAsia="仿宋" w:hAnsi="仿宋" w:cs="Times New Roman" w:hint="eastAsia"/>
          <w:color w:val="000000" w:themeColor="text1"/>
          <w:sz w:val="32"/>
          <w:szCs w:val="32"/>
        </w:rPr>
        <w:t>由于公务用车改革，相应减少</w:t>
      </w:r>
      <w:r w:rsidR="00806E39" w:rsidRPr="00806E39">
        <w:rPr>
          <w:rFonts w:ascii="仿宋" w:eastAsia="仿宋" w:hAnsi="仿宋" w:cs="Times New Roman"/>
          <w:color w:val="000000" w:themeColor="text1"/>
          <w:sz w:val="32"/>
          <w:szCs w:val="32"/>
        </w:rPr>
        <w:t>公务用车运行费</w:t>
      </w:r>
      <w:r w:rsidR="00EC47F6" w:rsidRPr="00AA71ED">
        <w:rPr>
          <w:rFonts w:ascii="仿宋" w:eastAsia="仿宋" w:hAnsi="仿宋" w:cs="Times New Roman"/>
          <w:sz w:val="32"/>
          <w:szCs w:val="32"/>
        </w:rPr>
        <w:t>；公务接待费</w:t>
      </w:r>
      <w:r w:rsidR="00806E39">
        <w:rPr>
          <w:rFonts w:ascii="仿宋" w:eastAsia="仿宋" w:hAnsi="仿宋" w:cs="Times New Roman" w:hint="eastAsia"/>
          <w:sz w:val="32"/>
          <w:szCs w:val="32"/>
        </w:rPr>
        <w:t>0</w:t>
      </w:r>
      <w:r w:rsidR="00EC47F6" w:rsidRPr="00AA71ED">
        <w:rPr>
          <w:rFonts w:ascii="仿宋" w:eastAsia="仿宋" w:hAnsi="仿宋" w:cs="Times New Roman"/>
          <w:sz w:val="32"/>
          <w:szCs w:val="32"/>
        </w:rPr>
        <w:t>万元</w:t>
      </w:r>
      <w:r w:rsidR="00A662E9">
        <w:rPr>
          <w:rFonts w:ascii="仿宋" w:eastAsia="仿宋" w:hAnsi="仿宋" w:cs="Times New Roman" w:hint="eastAsia"/>
          <w:sz w:val="32"/>
          <w:szCs w:val="32"/>
        </w:rPr>
        <w:t>，</w:t>
      </w:r>
      <w:r w:rsidR="00A662E9" w:rsidRPr="00AA71ED">
        <w:rPr>
          <w:rFonts w:ascii="仿宋" w:eastAsia="仿宋" w:hAnsi="仿宋" w:cs="Times New Roman"/>
          <w:sz w:val="32"/>
          <w:szCs w:val="32"/>
        </w:rPr>
        <w:t>与</w:t>
      </w:r>
      <w:r w:rsidR="00A662E9">
        <w:rPr>
          <w:rFonts w:ascii="仿宋" w:eastAsia="仿宋" w:hAnsi="仿宋" w:cs="Times New Roman"/>
          <w:sz w:val="32"/>
          <w:szCs w:val="32"/>
        </w:rPr>
        <w:t>2017年</w:t>
      </w:r>
      <w:r w:rsidR="00806E39">
        <w:rPr>
          <w:rFonts w:ascii="仿宋" w:eastAsia="仿宋" w:hAnsi="仿宋" w:cs="Times New Roman" w:hint="eastAsia"/>
          <w:sz w:val="32"/>
          <w:szCs w:val="32"/>
        </w:rPr>
        <w:t>持平</w:t>
      </w:r>
      <w:r w:rsidR="007751AA">
        <w:rPr>
          <w:rFonts w:ascii="仿宋" w:eastAsia="仿宋" w:hAnsi="仿宋" w:cs="Times New Roman" w:hint="eastAsia"/>
          <w:sz w:val="32"/>
          <w:szCs w:val="32"/>
        </w:rPr>
        <w:t>，无增减变动</w:t>
      </w:r>
      <w:r w:rsidR="000F298A">
        <w:rPr>
          <w:rFonts w:ascii="仿宋" w:eastAsia="仿宋" w:hAnsi="仿宋" w:cs="Times New Roman" w:hint="eastAsia"/>
          <w:sz w:val="32"/>
          <w:szCs w:val="32"/>
        </w:rPr>
        <w:t>，主要原因是无此项预算安排，无此项支出</w:t>
      </w:r>
      <w:r w:rsidR="00806E39">
        <w:rPr>
          <w:rFonts w:ascii="仿宋" w:eastAsia="仿宋" w:hAnsi="仿宋" w:cs="Times New Roman" w:hint="eastAsia"/>
          <w:sz w:val="32"/>
          <w:szCs w:val="32"/>
        </w:rPr>
        <w:t>。</w:t>
      </w:r>
    </w:p>
    <w:p w:rsidR="00F66032" w:rsidRPr="00C24BF5" w:rsidRDefault="00F66032" w:rsidP="00806E39">
      <w:pPr>
        <w:ind w:firstLineChars="200"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925753" w:rsidRPr="00C24BF5" w:rsidRDefault="00925753" w:rsidP="00C24BF5">
      <w:pPr>
        <w:ind w:firstLineChars="200" w:firstLine="643"/>
        <w:jc w:val="left"/>
        <w:rPr>
          <w:rFonts w:asciiTheme="minorEastAsia" w:hAnsiTheme="minorEastAsia" w:cs="Times New Roman"/>
          <w:b/>
          <w:sz w:val="32"/>
          <w:szCs w:val="32"/>
        </w:rPr>
      </w:pPr>
      <w:bookmarkStart w:id="1" w:name="_Toc471398463"/>
      <w:r w:rsidRPr="00C24BF5">
        <w:rPr>
          <w:rFonts w:asciiTheme="minorEastAsia" w:hAnsiTheme="minorEastAsia" w:cs="Times New Roman"/>
          <w:b/>
          <w:sz w:val="32"/>
          <w:szCs w:val="32"/>
        </w:rPr>
        <w:t>总体绩效目标：</w:t>
      </w:r>
    </w:p>
    <w:p w:rsidR="007F25F1" w:rsidRDefault="007F25F1" w:rsidP="007F25F1">
      <w:pPr>
        <w:ind w:firstLineChars="200" w:firstLine="640"/>
        <w:jc w:val="left"/>
        <w:outlineLvl w:val="0"/>
        <w:rPr>
          <w:rFonts w:ascii="仿宋" w:eastAsia="仿宋" w:hAnsi="仿宋" w:cs="宋体"/>
          <w:kern w:val="0"/>
          <w:sz w:val="32"/>
          <w:szCs w:val="32"/>
        </w:rPr>
      </w:pPr>
      <w:r w:rsidRPr="00EF44F6">
        <w:rPr>
          <w:rFonts w:ascii="仿宋" w:eastAsia="仿宋" w:hAnsi="仿宋" w:cs="宋体" w:hint="eastAsia"/>
          <w:kern w:val="0"/>
          <w:sz w:val="32"/>
          <w:szCs w:val="32"/>
        </w:rPr>
        <w:t>确保供销社事业改革、发展和壮大、发挥供销社在商业流通服务的作用</w:t>
      </w:r>
      <w:r>
        <w:rPr>
          <w:rFonts w:ascii="仿宋" w:eastAsia="仿宋" w:hAnsi="仿宋" w:cs="宋体" w:hint="eastAsia"/>
          <w:kern w:val="0"/>
          <w:sz w:val="32"/>
          <w:szCs w:val="32"/>
        </w:rPr>
        <w:t>；</w:t>
      </w:r>
      <w:r w:rsidRPr="00EF44F6">
        <w:rPr>
          <w:rFonts w:ascii="仿宋" w:eastAsia="仿宋" w:hAnsi="仿宋" w:cs="宋体" w:hint="eastAsia"/>
          <w:kern w:val="0"/>
          <w:sz w:val="32"/>
          <w:szCs w:val="32"/>
        </w:rPr>
        <w:t>健全农资、农副产品、盐产品网络，加快形成连锁化、规模化、品牌化经营服务新格局；发展农村电子</w:t>
      </w:r>
      <w:proofErr w:type="gramStart"/>
      <w:r w:rsidRPr="00EF44F6">
        <w:rPr>
          <w:rFonts w:ascii="仿宋" w:eastAsia="仿宋" w:hAnsi="仿宋" w:cs="宋体" w:hint="eastAsia"/>
          <w:kern w:val="0"/>
          <w:sz w:val="32"/>
          <w:szCs w:val="32"/>
        </w:rPr>
        <w:t>务</w:t>
      </w:r>
      <w:proofErr w:type="gramEnd"/>
      <w:r w:rsidRPr="00EF44F6">
        <w:rPr>
          <w:rFonts w:ascii="仿宋" w:eastAsia="仿宋" w:hAnsi="仿宋" w:cs="宋体" w:hint="eastAsia"/>
          <w:kern w:val="0"/>
          <w:sz w:val="32"/>
          <w:szCs w:val="32"/>
        </w:rPr>
        <w:t>，形</w:t>
      </w:r>
      <w:r w:rsidRPr="001F5D37">
        <w:rPr>
          <w:rFonts w:ascii="仿宋" w:eastAsia="仿宋" w:hAnsi="仿宋" w:cs="宋体" w:hint="eastAsia"/>
          <w:kern w:val="0"/>
          <w:sz w:val="32"/>
          <w:szCs w:val="32"/>
        </w:rPr>
        <w:t>成网上交易、仓储物流、终端配送一体化经营，推动线上线下融合发展；</w:t>
      </w:r>
      <w:r w:rsidRPr="00EF44F6">
        <w:rPr>
          <w:rFonts w:ascii="仿宋" w:eastAsia="仿宋" w:hAnsi="仿宋" w:cs="宋体" w:hint="eastAsia"/>
          <w:kern w:val="0"/>
          <w:sz w:val="32"/>
          <w:szCs w:val="32"/>
        </w:rPr>
        <w:t>社有企业实现跨越式发展，供销</w:t>
      </w:r>
      <w:r w:rsidRPr="001F5D37">
        <w:rPr>
          <w:rFonts w:ascii="仿宋" w:eastAsia="仿宋" w:hAnsi="仿宋" w:cs="宋体" w:hint="eastAsia"/>
          <w:kern w:val="0"/>
          <w:sz w:val="32"/>
          <w:szCs w:val="32"/>
        </w:rPr>
        <w:t>社体制机制明显优化，营业收入、利润总额和净资产均有不同程度增长；</w:t>
      </w:r>
      <w:r w:rsidRPr="00EF44F6">
        <w:rPr>
          <w:rFonts w:ascii="仿宋" w:eastAsia="仿宋" w:hAnsi="仿宋" w:cs="宋体" w:hint="eastAsia"/>
          <w:kern w:val="0"/>
          <w:sz w:val="32"/>
          <w:szCs w:val="32"/>
        </w:rPr>
        <w:t>紧紧围绕“三农”工作大局，以密切与农民利益联结为核心，以提升为农服务能力为根本，以强化基层社和创新联合</w:t>
      </w:r>
      <w:proofErr w:type="gramStart"/>
      <w:r w:rsidRPr="00EF44F6">
        <w:rPr>
          <w:rFonts w:ascii="仿宋" w:eastAsia="仿宋" w:hAnsi="仿宋" w:cs="宋体" w:hint="eastAsia"/>
          <w:kern w:val="0"/>
          <w:sz w:val="32"/>
          <w:szCs w:val="32"/>
        </w:rPr>
        <w:t>社治理</w:t>
      </w:r>
      <w:proofErr w:type="gramEnd"/>
      <w:r w:rsidRPr="00EF44F6">
        <w:rPr>
          <w:rFonts w:ascii="仿宋" w:eastAsia="仿宋" w:hAnsi="仿宋" w:cs="宋体" w:hint="eastAsia"/>
          <w:kern w:val="0"/>
          <w:sz w:val="32"/>
          <w:szCs w:val="32"/>
        </w:rPr>
        <w:t>机制为重点，按照政事分开、社企分开的方向，推进体制改革和机制创新，加快建成适应社会主义市场经济需要、</w:t>
      </w:r>
      <w:r w:rsidRPr="00EF44F6">
        <w:rPr>
          <w:rFonts w:ascii="仿宋" w:eastAsia="仿宋" w:hAnsi="仿宋" w:cs="宋体" w:hint="eastAsia"/>
          <w:kern w:val="0"/>
          <w:sz w:val="32"/>
          <w:szCs w:val="32"/>
        </w:rPr>
        <w:lastRenderedPageBreak/>
        <w:t>适应城乡</w:t>
      </w:r>
      <w:r w:rsidRPr="001F5D37">
        <w:rPr>
          <w:rFonts w:ascii="仿宋" w:eastAsia="仿宋" w:hAnsi="仿宋" w:cs="宋体" w:hint="eastAsia"/>
          <w:kern w:val="0"/>
          <w:sz w:val="32"/>
          <w:szCs w:val="32"/>
        </w:rPr>
        <w:t>发展一体化需要、适应中国特色农业现代化需要的组织体系和服务机制；</w:t>
      </w:r>
      <w:r w:rsidRPr="00EF44F6">
        <w:rPr>
          <w:rFonts w:ascii="仿宋" w:eastAsia="仿宋" w:hAnsi="仿宋" w:cs="宋体" w:hint="eastAsia"/>
          <w:kern w:val="0"/>
          <w:sz w:val="32"/>
          <w:szCs w:val="32"/>
        </w:rPr>
        <w:t>组建农民合作社联合社</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创建农村合作金融体系,拓宽“三农”融资的渠道，按照统一要求、标准、计划，完成各项工作的建设任务，实现供销社合作金融体系上下贯通、利益链接、一体化运营。初步实现供销金融超市全县基层全覆盖</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充分发挥供销社在流通领域的应急调控作用</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安排、组织代储企业依据储备计划及时足额、保质保量做好储备商品的收储、轮换等工作</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保障食盐在生产、流通环节的安全</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全县盐业违法行为得到有效打击和遏制，实现食盐安全生产和流通</w:t>
      </w:r>
      <w:r w:rsidRPr="001F5D37">
        <w:rPr>
          <w:rFonts w:ascii="仿宋" w:eastAsia="仿宋" w:hAnsi="仿宋" w:cs="宋体" w:hint="eastAsia"/>
          <w:kern w:val="0"/>
          <w:sz w:val="32"/>
          <w:szCs w:val="32"/>
        </w:rPr>
        <w:t>；</w:t>
      </w:r>
      <w:r w:rsidRPr="00EF44F6">
        <w:rPr>
          <w:rFonts w:ascii="仿宋" w:eastAsia="仿宋" w:hAnsi="仿宋" w:cs="宋体" w:hint="eastAsia"/>
          <w:kern w:val="0"/>
          <w:sz w:val="32"/>
          <w:szCs w:val="32"/>
        </w:rPr>
        <w:t>完成县政府交办的改革任务</w:t>
      </w:r>
      <w:r w:rsidRPr="001F5D37">
        <w:rPr>
          <w:rFonts w:ascii="仿宋" w:eastAsia="仿宋" w:hAnsi="仿宋" w:cs="宋体" w:hint="eastAsia"/>
          <w:kern w:val="0"/>
          <w:sz w:val="32"/>
          <w:szCs w:val="32"/>
        </w:rPr>
        <w:t>；</w:t>
      </w:r>
      <w:r w:rsidRPr="00EF44F6">
        <w:rPr>
          <w:rFonts w:ascii="仿宋" w:eastAsia="仿宋" w:hAnsi="仿宋" w:cs="宋体" w:hint="eastAsia"/>
          <w:color w:val="000000"/>
          <w:kern w:val="0"/>
          <w:sz w:val="32"/>
          <w:szCs w:val="32"/>
        </w:rPr>
        <w:t>确保各项业务工作谋划到位、顺利开展</w:t>
      </w:r>
      <w:r w:rsidRPr="001F5D37">
        <w:rPr>
          <w:rFonts w:ascii="仿宋" w:eastAsia="仿宋" w:hAnsi="仿宋" w:cs="宋体" w:hint="eastAsia"/>
          <w:color w:val="000000"/>
          <w:kern w:val="0"/>
          <w:sz w:val="32"/>
          <w:szCs w:val="32"/>
        </w:rPr>
        <w:t>；</w:t>
      </w:r>
      <w:r w:rsidRPr="00EF44F6">
        <w:rPr>
          <w:rFonts w:ascii="仿宋" w:eastAsia="仿宋" w:hAnsi="仿宋" w:cs="宋体" w:hint="eastAsia"/>
          <w:kern w:val="0"/>
          <w:sz w:val="32"/>
          <w:szCs w:val="32"/>
        </w:rPr>
        <w:t>保障机关工作正常高效运转</w:t>
      </w:r>
      <w:r>
        <w:rPr>
          <w:rFonts w:ascii="仿宋" w:eastAsia="仿宋" w:hAnsi="仿宋" w:cs="宋体" w:hint="eastAsia"/>
          <w:kern w:val="0"/>
          <w:sz w:val="32"/>
          <w:szCs w:val="32"/>
        </w:rPr>
        <w:t>。</w:t>
      </w:r>
    </w:p>
    <w:p w:rsidR="00925753" w:rsidRPr="00C24BF5" w:rsidRDefault="00925753" w:rsidP="007F25F1">
      <w:pPr>
        <w:ind w:firstLineChars="200" w:firstLine="643"/>
        <w:jc w:val="left"/>
        <w:outlineLvl w:val="0"/>
        <w:rPr>
          <w:rFonts w:asciiTheme="minorEastAsia" w:hAnsiTheme="minorEastAsia" w:cs="Times New Roman"/>
          <w:b/>
          <w:sz w:val="32"/>
          <w:szCs w:val="32"/>
        </w:rPr>
      </w:pPr>
      <w:r w:rsidRPr="00C24BF5">
        <w:rPr>
          <w:rFonts w:asciiTheme="minorEastAsia" w:hAnsiTheme="minorEastAsia" w:cs="Times New Roman" w:hint="eastAsia"/>
          <w:b/>
          <w:sz w:val="32"/>
          <w:szCs w:val="32"/>
        </w:rPr>
        <w:t>部门职责及工作活动绩效目标指标：</w:t>
      </w:r>
    </w:p>
    <w:tbl>
      <w:tblPr>
        <w:tblW w:w="14049" w:type="dxa"/>
        <w:tblInd w:w="93" w:type="dxa"/>
        <w:tblLayout w:type="fixed"/>
        <w:tblLook w:val="04A0"/>
      </w:tblPr>
      <w:tblGrid>
        <w:gridCol w:w="1072"/>
        <w:gridCol w:w="928"/>
        <w:gridCol w:w="3260"/>
        <w:gridCol w:w="3686"/>
        <w:gridCol w:w="1842"/>
        <w:gridCol w:w="851"/>
        <w:gridCol w:w="850"/>
        <w:gridCol w:w="851"/>
        <w:gridCol w:w="709"/>
      </w:tblGrid>
      <w:tr w:rsidR="007F25F1" w:rsidRPr="00EF44F6" w:rsidTr="003B758F">
        <w:trPr>
          <w:trHeight w:val="585"/>
        </w:trPr>
        <w:tc>
          <w:tcPr>
            <w:tcW w:w="14049" w:type="dxa"/>
            <w:gridSpan w:val="9"/>
            <w:tcBorders>
              <w:top w:val="nil"/>
              <w:left w:val="nil"/>
              <w:bottom w:val="nil"/>
              <w:right w:val="nil"/>
            </w:tcBorders>
            <w:shd w:val="clear" w:color="auto" w:fill="auto"/>
            <w:vAlign w:val="center"/>
            <w:hideMark/>
          </w:tcPr>
          <w:p w:rsidR="004E638E" w:rsidRDefault="004E638E" w:rsidP="003B758F">
            <w:pPr>
              <w:widowControl/>
              <w:jc w:val="center"/>
              <w:rPr>
                <w:rFonts w:ascii="黑体" w:eastAsia="黑体" w:hAnsi="黑体" w:cs="宋体" w:hint="eastAsia"/>
                <w:kern w:val="0"/>
                <w:sz w:val="28"/>
                <w:szCs w:val="28"/>
              </w:rPr>
            </w:pPr>
          </w:p>
          <w:p w:rsidR="004E638E" w:rsidRDefault="004E638E" w:rsidP="003B758F">
            <w:pPr>
              <w:widowControl/>
              <w:jc w:val="center"/>
              <w:rPr>
                <w:rFonts w:ascii="黑体" w:eastAsia="黑体" w:hAnsi="黑体" w:cs="宋体" w:hint="eastAsia"/>
                <w:kern w:val="0"/>
                <w:sz w:val="28"/>
                <w:szCs w:val="28"/>
              </w:rPr>
            </w:pPr>
          </w:p>
          <w:p w:rsidR="007F25F1" w:rsidRDefault="007F25F1" w:rsidP="003B758F">
            <w:pPr>
              <w:widowControl/>
              <w:jc w:val="center"/>
              <w:rPr>
                <w:rFonts w:ascii="黑体" w:eastAsia="黑体" w:hAnsi="黑体" w:cs="宋体"/>
                <w:kern w:val="0"/>
                <w:sz w:val="28"/>
                <w:szCs w:val="28"/>
              </w:rPr>
            </w:pPr>
            <w:r w:rsidRPr="00EF44F6">
              <w:rPr>
                <w:rFonts w:ascii="黑体" w:eastAsia="黑体" w:hAnsi="黑体" w:cs="宋体" w:hint="eastAsia"/>
                <w:kern w:val="0"/>
                <w:sz w:val="28"/>
                <w:szCs w:val="28"/>
              </w:rPr>
              <w:lastRenderedPageBreak/>
              <w:t>部门职责-工作活动绩效目标</w:t>
            </w:r>
          </w:p>
          <w:p w:rsidR="007F25F1" w:rsidRPr="00276CBD" w:rsidRDefault="000F298A" w:rsidP="000F298A">
            <w:pPr>
              <w:widowControl/>
              <w:jc w:val="left"/>
              <w:rPr>
                <w:rFonts w:asciiTheme="minorEastAsia" w:hAnsiTheme="minorEastAsia" w:cs="宋体"/>
                <w:kern w:val="0"/>
                <w:sz w:val="18"/>
                <w:szCs w:val="18"/>
              </w:rPr>
            </w:pPr>
            <w:r w:rsidRPr="00AD633A">
              <w:rPr>
                <w:rFonts w:asciiTheme="minorEastAsia" w:hAnsiTheme="minorEastAsia" w:cs="宋体"/>
                <w:kern w:val="0"/>
                <w:sz w:val="22"/>
              </w:rPr>
              <w:t>975</w:t>
            </w:r>
            <w:r w:rsidR="00AD633A" w:rsidRPr="00AD633A">
              <w:rPr>
                <w:rFonts w:asciiTheme="minorEastAsia" w:hAnsiTheme="minorEastAsia" w:cs="宋体" w:hint="eastAsia"/>
                <w:kern w:val="0"/>
                <w:sz w:val="22"/>
              </w:rPr>
              <w:t xml:space="preserve"> </w:t>
            </w:r>
            <w:r w:rsidRPr="00AD633A">
              <w:rPr>
                <w:rFonts w:asciiTheme="minorEastAsia" w:hAnsiTheme="minorEastAsia" w:cs="宋体" w:hint="eastAsia"/>
                <w:kern w:val="0"/>
                <w:sz w:val="22"/>
              </w:rPr>
              <w:t>香河县供销合作社联合社</w:t>
            </w:r>
            <w:r w:rsidR="007F25F1" w:rsidRPr="00AD633A">
              <w:rPr>
                <w:rFonts w:asciiTheme="minorEastAsia" w:hAnsiTheme="minorEastAsia" w:cs="宋体" w:hint="eastAsia"/>
                <w:kern w:val="0"/>
                <w:sz w:val="18"/>
                <w:szCs w:val="18"/>
              </w:rPr>
              <w:t xml:space="preserve"> </w:t>
            </w:r>
            <w:r w:rsidR="007F25F1" w:rsidRPr="00276CBD">
              <w:rPr>
                <w:rFonts w:asciiTheme="minorEastAsia" w:hAnsiTheme="minorEastAsia" w:cs="宋体" w:hint="eastAsia"/>
                <w:kern w:val="0"/>
                <w:sz w:val="18"/>
                <w:szCs w:val="18"/>
              </w:rPr>
              <w:t xml:space="preserve">                                                                                                              单位：万元</w:t>
            </w:r>
          </w:p>
        </w:tc>
      </w:tr>
      <w:tr w:rsidR="007F25F1" w:rsidRPr="00EF44F6" w:rsidTr="003B758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lastRenderedPageBreak/>
              <w:t>职责活动</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年度预算数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内容描述</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绩效目标</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绩效指标</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评价标准</w:t>
            </w:r>
          </w:p>
        </w:tc>
      </w:tr>
      <w:tr w:rsidR="007F25F1" w:rsidRPr="00EF44F6" w:rsidTr="003B758F">
        <w:trPr>
          <w:trHeight w:val="39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优</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良</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中</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b/>
                <w:bCs/>
                <w:kern w:val="0"/>
                <w:sz w:val="18"/>
                <w:szCs w:val="18"/>
              </w:rPr>
            </w:pPr>
            <w:r w:rsidRPr="00276CBD">
              <w:rPr>
                <w:rFonts w:ascii="仿宋" w:eastAsia="仿宋" w:hAnsi="仿宋" w:cs="宋体" w:hint="eastAsia"/>
                <w:b/>
                <w:bCs/>
                <w:kern w:val="0"/>
                <w:sz w:val="18"/>
                <w:szCs w:val="18"/>
              </w:rPr>
              <w:t>差</w:t>
            </w:r>
          </w:p>
        </w:tc>
      </w:tr>
      <w:tr w:rsidR="007F25F1" w:rsidRPr="00EF44F6" w:rsidTr="003B758F">
        <w:trPr>
          <w:trHeight w:val="419"/>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供销流通管理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贯彻落实党和政府商业流通有关方针政策，研究制定行业发展战略和规划，组织指导行业改革发展，负责行业管理，开展教育培训，维护合法权益</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确保供销社事业改革、发展和壮大、发挥供销社在商业流通服务的作用</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r>
      <w:tr w:rsidR="007F25F1" w:rsidRPr="00EF44F6" w:rsidTr="003B758F">
        <w:trPr>
          <w:trHeight w:val="225"/>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发展现代流通网络建设及管理</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落实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健全农资、农副产品、盐产品网络，加快形成连锁化、规模化、品牌化经营服务新格局；发展农村电子</w:t>
            </w:r>
            <w:proofErr w:type="gramStart"/>
            <w:r w:rsidRPr="00276CBD">
              <w:rPr>
                <w:rFonts w:ascii="仿宋" w:eastAsia="仿宋" w:hAnsi="仿宋" w:cs="宋体" w:hint="eastAsia"/>
                <w:kern w:val="0"/>
                <w:sz w:val="18"/>
                <w:szCs w:val="18"/>
              </w:rPr>
              <w:t>务</w:t>
            </w:r>
            <w:proofErr w:type="gramEnd"/>
            <w:r w:rsidRPr="00276CBD">
              <w:rPr>
                <w:rFonts w:ascii="仿宋" w:eastAsia="仿宋" w:hAnsi="仿宋" w:cs="宋体" w:hint="eastAsia"/>
                <w:kern w:val="0"/>
                <w:sz w:val="18"/>
                <w:szCs w:val="18"/>
              </w:rPr>
              <w:t>，形成网上交易、仓储物流、终端配送一体化经营，推动线上线下融合发展。</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农产品批发</w:t>
            </w:r>
            <w:proofErr w:type="gramStart"/>
            <w:r w:rsidRPr="00276CBD">
              <w:rPr>
                <w:rFonts w:ascii="仿宋" w:eastAsia="仿宋" w:hAnsi="仿宋" w:cs="宋体" w:hint="eastAsia"/>
                <w:kern w:val="0"/>
                <w:sz w:val="18"/>
                <w:szCs w:val="18"/>
              </w:rPr>
              <w:t>市场市场</w:t>
            </w:r>
            <w:proofErr w:type="gramEnd"/>
            <w:r w:rsidRPr="00276CBD">
              <w:rPr>
                <w:rFonts w:ascii="仿宋" w:eastAsia="仿宋" w:hAnsi="仿宋" w:cs="宋体" w:hint="eastAsia"/>
                <w:kern w:val="0"/>
                <w:sz w:val="18"/>
                <w:szCs w:val="18"/>
              </w:rPr>
              <w:t>交易额增长率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≥8%</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供销社企业电子商务销售额增长倍数</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≥50%</w:t>
            </w:r>
          </w:p>
        </w:tc>
      </w:tr>
      <w:tr w:rsidR="007F25F1" w:rsidRPr="00EF44F6" w:rsidTr="003B758F">
        <w:trPr>
          <w:trHeight w:val="450"/>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连锁经营销售额占全县供销社销售额比重</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≥0%</w:t>
            </w:r>
          </w:p>
        </w:tc>
      </w:tr>
      <w:tr w:rsidR="007F25F1" w:rsidRPr="00EF44F6" w:rsidTr="003B758F">
        <w:trPr>
          <w:trHeight w:val="257"/>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全县供销社流通网络购销总额增长率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＜3%</w:t>
            </w:r>
          </w:p>
        </w:tc>
      </w:tr>
      <w:tr w:rsidR="007F25F1" w:rsidRPr="00EF44F6" w:rsidTr="003B758F">
        <w:trPr>
          <w:trHeight w:val="225"/>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社属企业运营管理及建设</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20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指导社属企业经营管理，对社属企业进行监督检查，完善企业运营管理制度并监督执行，行使出资人职能、确保社有资产的安全和增值</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社有企业实现跨越式发展，供销社体制机制明显优化，营业收入、利润总额和净资产均有不同程度增长。</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利润总额增长率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社有资产增值比率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营业收入增长率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w:t>
            </w:r>
          </w:p>
        </w:tc>
      </w:tr>
      <w:tr w:rsidR="007F25F1" w:rsidRPr="00EF44F6" w:rsidTr="003B758F">
        <w:trPr>
          <w:trHeight w:val="2025"/>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lastRenderedPageBreak/>
              <w:t>服务三农事务管理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200</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贯彻落实党和政府有关 服务“三农”方针政策，以供销合作社体系为依托，自下而上组建农民合作社联合社、创新组织体系、服务体系和农村金融体系</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紧紧围绕“三农”工作大局，以密切与农民利益联结为核心，以提升为农服务能力为根本，以强化基 </w:t>
            </w:r>
            <w:proofErr w:type="gramStart"/>
            <w:r w:rsidRPr="00276CBD">
              <w:rPr>
                <w:rFonts w:ascii="仿宋" w:eastAsia="仿宋" w:hAnsi="仿宋" w:cs="宋体" w:hint="eastAsia"/>
                <w:kern w:val="0"/>
                <w:sz w:val="18"/>
                <w:szCs w:val="18"/>
              </w:rPr>
              <w:t>层社和</w:t>
            </w:r>
            <w:proofErr w:type="gramEnd"/>
            <w:r w:rsidRPr="00276CBD">
              <w:rPr>
                <w:rFonts w:ascii="仿宋" w:eastAsia="仿宋" w:hAnsi="仿宋" w:cs="宋体" w:hint="eastAsia"/>
                <w:kern w:val="0"/>
                <w:sz w:val="18"/>
                <w:szCs w:val="18"/>
              </w:rPr>
              <w:t>创新联合</w:t>
            </w:r>
            <w:proofErr w:type="gramStart"/>
            <w:r w:rsidRPr="00276CBD">
              <w:rPr>
                <w:rFonts w:ascii="仿宋" w:eastAsia="仿宋" w:hAnsi="仿宋" w:cs="宋体" w:hint="eastAsia"/>
                <w:kern w:val="0"/>
                <w:sz w:val="18"/>
                <w:szCs w:val="18"/>
              </w:rPr>
              <w:t>社治理</w:t>
            </w:r>
            <w:proofErr w:type="gramEnd"/>
            <w:r w:rsidRPr="00276CBD">
              <w:rPr>
                <w:rFonts w:ascii="仿宋" w:eastAsia="仿宋" w:hAnsi="仿宋" w:cs="宋体" w:hint="eastAsia"/>
                <w:kern w:val="0"/>
                <w:sz w:val="18"/>
                <w:szCs w:val="18"/>
              </w:rPr>
              <w:t>机制为重点，按照政事分开、社企分开的方向，推进体制改革和机制创新，加快建成适应社会主义市场经济需要、适应城乡发展一体化需要、适应中国特色农业现代化需要的组织体系和服务机制。</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r>
      <w:tr w:rsidR="007F25F1" w:rsidRPr="00EF44F6" w:rsidTr="003B758F">
        <w:trPr>
          <w:trHeight w:val="225"/>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组织体系建设</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以供销合作社体系为依托，自下而上组建农民合作社联合社</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组建农民合作社联合社</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联合农民专业合作社个数</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3</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带动区域内产业发展个数</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0</w:t>
            </w:r>
          </w:p>
        </w:tc>
      </w:tr>
      <w:tr w:rsidR="007F25F1" w:rsidRPr="00EF44F6" w:rsidTr="003B758F">
        <w:trPr>
          <w:trHeight w:val="450"/>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服务体系建设</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200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供销合作社要把为农服务放在首位。面向农业现代化、面向农民生产生活，推动供销合作社由流通服务向全程农业社会化服务延伸、向全方位城乡社区服务拓展， 加快形成综合性、规模化、可持续的为农服务体系，在农资供应、农产品流通、农民技能培训等重点领域和环节为农民提供便利实惠、安全优质的服务</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示范性培训新型农民和农村实用技能人才人次</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200以上</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200以下</w:t>
            </w:r>
          </w:p>
        </w:tc>
      </w:tr>
      <w:tr w:rsidR="007F25F1" w:rsidRPr="00EF44F6" w:rsidTr="003B758F">
        <w:trPr>
          <w:trHeight w:val="450"/>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proofErr w:type="gramStart"/>
            <w:r w:rsidRPr="00276CBD">
              <w:rPr>
                <w:rFonts w:ascii="仿宋" w:eastAsia="仿宋" w:hAnsi="仿宋" w:cs="宋体" w:hint="eastAsia"/>
                <w:kern w:val="0"/>
                <w:sz w:val="18"/>
                <w:szCs w:val="18"/>
              </w:rPr>
              <w:t>冀农村</w:t>
            </w:r>
            <w:proofErr w:type="gramEnd"/>
            <w:r w:rsidRPr="00276CBD">
              <w:rPr>
                <w:rFonts w:ascii="仿宋" w:eastAsia="仿宋" w:hAnsi="仿宋" w:cs="宋体" w:hint="eastAsia"/>
                <w:kern w:val="0"/>
                <w:sz w:val="18"/>
                <w:szCs w:val="18"/>
              </w:rPr>
              <w:t>社区综合服务中心（社、站）数量</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≥66</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≥44</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＜22</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服务体系覆盖率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≥80%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＜50%</w:t>
            </w:r>
          </w:p>
        </w:tc>
      </w:tr>
      <w:tr w:rsidR="007F25F1" w:rsidRPr="00EF44F6" w:rsidTr="003B758F">
        <w:trPr>
          <w:trHeight w:val="450"/>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创新农村金融体系建设</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创新金融服务方式和手段，创建农村合作金融服务体系，以企业为主体，以市场为导向，通过组织上积极引导、利益上不断凝聚、服务上广泛吸引，整合投资管理、农村产权交易、农村资金互助、</w:t>
            </w:r>
            <w:r w:rsidRPr="00276CBD">
              <w:rPr>
                <w:rFonts w:ascii="仿宋" w:eastAsia="仿宋" w:hAnsi="仿宋" w:cs="宋体" w:hint="eastAsia"/>
                <w:kern w:val="0"/>
                <w:sz w:val="18"/>
                <w:szCs w:val="18"/>
              </w:rPr>
              <w:lastRenderedPageBreak/>
              <w:t>小额贷款、村镇银行、互联网金融、融资担保、合作保险、金融租赁和农产品电商等业态，稳步开展农村合作金融服务，实现服务三农、普惠金融目标，真正将供销社打造成上下贯通、利益链接、一体化运营的为农服务的生力军和综合平台</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lastRenderedPageBreak/>
              <w:t>创建农村合作金融体系,拓宽“三农”融资的渠道，按照统一要求、标准、计划，完成各项工作的建设任务，实现供销社合作金融体系上下贯通、利益链接、一体化运营。初步实现供销金融超市全县基层全覆盖</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建设金融超市和村级助</w:t>
            </w:r>
            <w:proofErr w:type="gramStart"/>
            <w:r w:rsidRPr="00276CBD">
              <w:rPr>
                <w:rFonts w:ascii="仿宋" w:eastAsia="仿宋" w:hAnsi="仿宋" w:cs="宋体" w:hint="eastAsia"/>
                <w:kern w:val="0"/>
                <w:sz w:val="18"/>
                <w:szCs w:val="18"/>
              </w:rPr>
              <w:t>农服务</w:t>
            </w:r>
            <w:proofErr w:type="gramEnd"/>
            <w:r w:rsidRPr="00276CBD">
              <w:rPr>
                <w:rFonts w:ascii="仿宋" w:eastAsia="仿宋" w:hAnsi="仿宋" w:cs="宋体" w:hint="eastAsia"/>
                <w:kern w:val="0"/>
                <w:sz w:val="18"/>
                <w:szCs w:val="18"/>
              </w:rPr>
              <w:t>网点数量（家）</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&lt;5</w:t>
            </w:r>
          </w:p>
        </w:tc>
      </w:tr>
      <w:tr w:rsidR="007F25F1" w:rsidRPr="00EF44F6" w:rsidTr="003B758F">
        <w:trPr>
          <w:trHeight w:val="450"/>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金融超市和村级助</w:t>
            </w:r>
            <w:proofErr w:type="gramStart"/>
            <w:r w:rsidRPr="00276CBD">
              <w:rPr>
                <w:rFonts w:ascii="仿宋" w:eastAsia="仿宋" w:hAnsi="仿宋" w:cs="宋体" w:hint="eastAsia"/>
                <w:kern w:val="0"/>
                <w:sz w:val="18"/>
                <w:szCs w:val="18"/>
              </w:rPr>
              <w:t>农服务</w:t>
            </w:r>
            <w:proofErr w:type="gramEnd"/>
            <w:r w:rsidRPr="00276CBD">
              <w:rPr>
                <w:rFonts w:ascii="仿宋" w:eastAsia="仿宋" w:hAnsi="仿宋" w:cs="宋体" w:hint="eastAsia"/>
                <w:kern w:val="0"/>
                <w:sz w:val="18"/>
                <w:szCs w:val="18"/>
              </w:rPr>
              <w:t>网点数量（家）</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&lt;50</w:t>
            </w:r>
          </w:p>
        </w:tc>
      </w:tr>
      <w:tr w:rsidR="007F25F1" w:rsidRPr="00EF44F6" w:rsidTr="003B758F">
        <w:trPr>
          <w:trHeight w:val="675"/>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lastRenderedPageBreak/>
              <w:t>物资储备管理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按照政府授权，承担管理棉花、化肥、农药、羊毛、食盐及救灾物资等重要物资的储备任务</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充分发挥供销社在流通领域的应急调控作用</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r>
      <w:tr w:rsidR="007F25F1" w:rsidRPr="00EF44F6" w:rsidTr="003B758F">
        <w:trPr>
          <w:trHeight w:val="225"/>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重要商品物资储备及监管</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8</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调节商品供求关系，稳定物价、保障市场供应、保证防汛救灾的需要、增强政府对市场的宏观调控能力和应急保障</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安排、组织代储企业依据储备计划及时足额、保质保量做好储备商品的收储、轮换等工作</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储备计划完成率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＜90%</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质量良好率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≥85%</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＜85%</w:t>
            </w:r>
          </w:p>
        </w:tc>
      </w:tr>
      <w:tr w:rsidR="007F25F1" w:rsidRPr="00EF44F6" w:rsidTr="003B758F">
        <w:trPr>
          <w:trHeight w:val="419"/>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盐</w:t>
            </w:r>
            <w:proofErr w:type="gramStart"/>
            <w:r w:rsidRPr="00276CBD">
              <w:rPr>
                <w:rFonts w:ascii="仿宋" w:eastAsia="仿宋" w:hAnsi="仿宋" w:cs="宋体" w:hint="eastAsia"/>
                <w:b/>
                <w:bCs/>
                <w:kern w:val="0"/>
                <w:sz w:val="18"/>
                <w:szCs w:val="18"/>
              </w:rPr>
              <w:t>务</w:t>
            </w:r>
            <w:proofErr w:type="gramEnd"/>
            <w:r w:rsidRPr="00276CBD">
              <w:rPr>
                <w:rFonts w:ascii="仿宋" w:eastAsia="仿宋" w:hAnsi="仿宋" w:cs="宋体" w:hint="eastAsia"/>
                <w:b/>
                <w:bCs/>
                <w:kern w:val="0"/>
                <w:sz w:val="18"/>
                <w:szCs w:val="18"/>
              </w:rPr>
              <w:t>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组织开展全县盐业行政执法活动，打击盐业违法行为、对直属企业进行改革和管理</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保障食盐在生产、流通环节的安全</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r>
      <w:tr w:rsidR="007F25F1" w:rsidRPr="00EF44F6" w:rsidTr="003B758F">
        <w:trPr>
          <w:trHeight w:val="225"/>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color w:val="000000"/>
                <w:kern w:val="0"/>
                <w:sz w:val="18"/>
                <w:szCs w:val="18"/>
              </w:rPr>
            </w:pPr>
            <w:r w:rsidRPr="00276CBD">
              <w:rPr>
                <w:rFonts w:ascii="仿宋" w:eastAsia="仿宋" w:hAnsi="仿宋" w:cs="宋体" w:hint="eastAsia"/>
                <w:b/>
                <w:bCs/>
                <w:color w:val="000000"/>
                <w:kern w:val="0"/>
                <w:sz w:val="18"/>
                <w:szCs w:val="18"/>
              </w:rPr>
              <w:t>组织实施盐政执法</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组织开展全县盐业行政执法活动，打击盐业违法行为，查处重大盐业违法案件。规范盐业行政执法案件程序和执法案卷；追究执法过错责任，纠正违法执法行为</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全县盐业违法行为得到有效打击和遏制，实现食盐安全生产和流通</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重大盐业违法行为、案件处理率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＜96%</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color w:val="000000"/>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盐业执法人员培训考核通过率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＜96%</w:t>
            </w:r>
          </w:p>
        </w:tc>
      </w:tr>
      <w:tr w:rsidR="007F25F1" w:rsidRPr="00EF44F6" w:rsidTr="003B758F">
        <w:trPr>
          <w:trHeight w:val="225"/>
        </w:trPr>
        <w:tc>
          <w:tcPr>
            <w:tcW w:w="1072"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b/>
                <w:bCs/>
                <w:color w:val="000000"/>
                <w:kern w:val="0"/>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color w:val="000000"/>
                <w:kern w:val="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7F25F1" w:rsidRPr="00276CBD" w:rsidRDefault="007F25F1" w:rsidP="003B758F">
            <w:pPr>
              <w:widowControl/>
              <w:jc w:val="left"/>
              <w:rPr>
                <w:rFonts w:ascii="仿宋" w:eastAsia="仿宋" w:hAnsi="仿宋"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食盐产品合格率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＜96%</w:t>
            </w:r>
          </w:p>
        </w:tc>
      </w:tr>
      <w:tr w:rsidR="007F25F1" w:rsidRPr="00EF44F6" w:rsidTr="003B758F">
        <w:trPr>
          <w:trHeight w:val="450"/>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color w:val="000000"/>
                <w:kern w:val="0"/>
                <w:sz w:val="18"/>
                <w:szCs w:val="18"/>
              </w:rPr>
            </w:pPr>
            <w:r w:rsidRPr="00276CBD">
              <w:rPr>
                <w:rFonts w:ascii="仿宋" w:eastAsia="仿宋" w:hAnsi="仿宋" w:cs="宋体" w:hint="eastAsia"/>
                <w:b/>
                <w:bCs/>
                <w:color w:val="000000"/>
                <w:kern w:val="0"/>
                <w:sz w:val="18"/>
                <w:szCs w:val="18"/>
              </w:rPr>
              <w:t>盐业体制改革</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按照县政府安排推动盐业体制改革工作</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完成县政府交办的改革任务</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县政府改革任务完成率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≥80%</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＜60%</w:t>
            </w:r>
          </w:p>
        </w:tc>
      </w:tr>
      <w:tr w:rsidR="007F25F1" w:rsidRPr="00EF44F6" w:rsidTr="003B758F">
        <w:trPr>
          <w:trHeight w:val="450"/>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供销合作政务管理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132.21</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负责供销合作社系统综合业务管理和机关综合事务管理</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center"/>
              <w:rPr>
                <w:rFonts w:ascii="仿宋" w:eastAsia="仿宋" w:hAnsi="仿宋" w:cs="宋体"/>
                <w:kern w:val="0"/>
                <w:sz w:val="18"/>
                <w:szCs w:val="18"/>
              </w:rPr>
            </w:pPr>
            <w:r w:rsidRPr="00276CBD">
              <w:rPr>
                <w:rFonts w:ascii="仿宋" w:eastAsia="仿宋" w:hAnsi="仿宋" w:cs="宋体" w:hint="eastAsia"/>
                <w:kern w:val="0"/>
                <w:sz w:val="18"/>
                <w:szCs w:val="18"/>
              </w:rPr>
              <w:t xml:space="preserve">　</w:t>
            </w:r>
          </w:p>
        </w:tc>
      </w:tr>
      <w:tr w:rsidR="007F25F1" w:rsidRPr="00EF44F6" w:rsidTr="003B758F">
        <w:trPr>
          <w:trHeight w:val="1125"/>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lastRenderedPageBreak/>
              <w:t>综合业务管理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103.50</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制订系统发展战略和规划、指导系统业务活动和综合改革试点及事业发展；开展行业调查研究，制定相关行业政策、法规规章制度；信访接待、业务宣传、政务信息公开等工作。</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确保各项业务工作谋划到位、顺利开展</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综合行政事务办结率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＜90%</w:t>
            </w:r>
          </w:p>
        </w:tc>
      </w:tr>
      <w:tr w:rsidR="007F25F1" w:rsidRPr="00EF44F6" w:rsidTr="003B758F">
        <w:trPr>
          <w:trHeight w:val="900"/>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b/>
                <w:bCs/>
                <w:kern w:val="0"/>
                <w:sz w:val="18"/>
                <w:szCs w:val="18"/>
              </w:rPr>
            </w:pPr>
            <w:r w:rsidRPr="00276CBD">
              <w:rPr>
                <w:rFonts w:ascii="仿宋" w:eastAsia="仿宋" w:hAnsi="仿宋" w:cs="宋体" w:hint="eastAsia"/>
                <w:b/>
                <w:bCs/>
                <w:kern w:val="0"/>
                <w:sz w:val="18"/>
                <w:szCs w:val="18"/>
              </w:rPr>
              <w:t>综合事务管理</w:t>
            </w:r>
          </w:p>
        </w:tc>
        <w:tc>
          <w:tcPr>
            <w:tcW w:w="928"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color w:val="000000"/>
                <w:kern w:val="0"/>
                <w:sz w:val="18"/>
                <w:szCs w:val="18"/>
              </w:rPr>
            </w:pPr>
            <w:r w:rsidRPr="00276CBD">
              <w:rPr>
                <w:rFonts w:ascii="仿宋" w:eastAsia="仿宋" w:hAnsi="仿宋" w:cs="宋体" w:hint="eastAsia"/>
                <w:color w:val="000000"/>
                <w:kern w:val="0"/>
                <w:sz w:val="18"/>
                <w:szCs w:val="18"/>
              </w:rPr>
              <w:t>28.71</w:t>
            </w:r>
          </w:p>
        </w:tc>
        <w:tc>
          <w:tcPr>
            <w:tcW w:w="326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会议组织管理、信息化建设与维护、机关财务和资产管理、标准化建设、基建及维修、设备购置、人事管理、机关党工委工作、老干部工作等。</w:t>
            </w:r>
          </w:p>
        </w:tc>
        <w:tc>
          <w:tcPr>
            <w:tcW w:w="3686"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保障机关工作正常高效运转</w:t>
            </w:r>
          </w:p>
        </w:tc>
        <w:tc>
          <w:tcPr>
            <w:tcW w:w="1842"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系统业务活动完成率</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7F25F1" w:rsidRPr="00276CBD" w:rsidRDefault="007F25F1" w:rsidP="003B758F">
            <w:pPr>
              <w:widowControl/>
              <w:jc w:val="left"/>
              <w:rPr>
                <w:rFonts w:ascii="仿宋" w:eastAsia="仿宋" w:hAnsi="仿宋" w:cs="宋体"/>
                <w:kern w:val="0"/>
                <w:sz w:val="18"/>
                <w:szCs w:val="18"/>
              </w:rPr>
            </w:pPr>
            <w:r w:rsidRPr="00276CBD">
              <w:rPr>
                <w:rFonts w:ascii="仿宋" w:eastAsia="仿宋" w:hAnsi="仿宋" w:cs="宋体" w:hint="eastAsia"/>
                <w:kern w:val="0"/>
                <w:sz w:val="18"/>
                <w:szCs w:val="18"/>
              </w:rPr>
              <w:t>＜90%</w:t>
            </w:r>
          </w:p>
        </w:tc>
      </w:tr>
    </w:tbl>
    <w:bookmarkEnd w:id="1"/>
    <w:p w:rsidR="00F66032" w:rsidRPr="00C24BF5" w:rsidRDefault="00F66032" w:rsidP="00E16BFB">
      <w:pPr>
        <w:ind w:firstLineChars="300" w:firstLine="96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415CB8" w:rsidRDefault="00A72D2E" w:rsidP="007F25F1">
      <w:pPr>
        <w:autoSpaceDE w:val="0"/>
        <w:autoSpaceDN w:val="0"/>
        <w:adjustRightInd w:val="0"/>
        <w:ind w:firstLineChars="200" w:firstLine="640"/>
        <w:jc w:val="left"/>
        <w:rPr>
          <w:rFonts w:ascii="仿宋" w:eastAsia="仿宋" w:hAnsi="仿宋" w:cs="Times New Roman"/>
          <w:sz w:val="32"/>
          <w:szCs w:val="32"/>
        </w:rPr>
      </w:pPr>
      <w:bookmarkStart w:id="2" w:name="_Toc471398468"/>
      <w:r w:rsidRPr="00C24BF5">
        <w:rPr>
          <w:rFonts w:asciiTheme="minorEastAsia" w:hAnsiTheme="minorEastAsia" w:cs="Times New Roman"/>
          <w:sz w:val="32"/>
          <w:szCs w:val="32"/>
        </w:rPr>
        <w:t xml:space="preserve">  </w:t>
      </w:r>
      <w:bookmarkEnd w:id="2"/>
      <w:r w:rsidR="007F25F1">
        <w:rPr>
          <w:rFonts w:ascii="仿宋" w:eastAsia="仿宋" w:hAnsi="仿宋" w:cs="Times New Roman" w:hint="eastAsia"/>
          <w:sz w:val="32"/>
          <w:szCs w:val="32"/>
        </w:rPr>
        <w:t>2018</w:t>
      </w:r>
      <w:r w:rsidR="00950B39">
        <w:rPr>
          <w:rFonts w:ascii="仿宋" w:eastAsia="仿宋" w:hAnsi="仿宋" w:cs="Times New Roman" w:hint="eastAsia"/>
          <w:sz w:val="32"/>
          <w:szCs w:val="32"/>
        </w:rPr>
        <w:t>年，本部门没有安排政府采购预算，详见下表。</w:t>
      </w:r>
    </w:p>
    <w:p w:rsidR="000F298A" w:rsidRPr="00C24BF5" w:rsidRDefault="000F298A" w:rsidP="000F298A">
      <w:pPr>
        <w:jc w:val="center"/>
        <w:outlineLvl w:val="0"/>
        <w:rPr>
          <w:rFonts w:ascii="宋体" w:hAnsi="宋体"/>
          <w:sz w:val="32"/>
          <w:szCs w:val="24"/>
        </w:rPr>
      </w:pPr>
      <w:r w:rsidRPr="00C24BF5">
        <w:rPr>
          <w:rFonts w:ascii="宋体" w:hAnsi="宋体" w:hint="eastAsia"/>
          <w:sz w:val="32"/>
          <w:szCs w:val="24"/>
        </w:rPr>
        <w:t>部门政府采购预算</w:t>
      </w:r>
    </w:p>
    <w:tbl>
      <w:tblPr>
        <w:tblW w:w="5012" w:type="pct"/>
        <w:jc w:val="center"/>
        <w:tblInd w:w="1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90"/>
        <w:gridCol w:w="1139"/>
        <w:gridCol w:w="989"/>
        <w:gridCol w:w="1293"/>
        <w:gridCol w:w="1293"/>
        <w:gridCol w:w="813"/>
        <w:gridCol w:w="1137"/>
        <w:gridCol w:w="565"/>
        <w:gridCol w:w="992"/>
        <w:gridCol w:w="992"/>
        <w:gridCol w:w="708"/>
        <w:gridCol w:w="710"/>
        <w:gridCol w:w="995"/>
        <w:gridCol w:w="992"/>
      </w:tblGrid>
      <w:tr w:rsidR="000F298A" w:rsidRPr="007851C6" w:rsidTr="004E638E">
        <w:trPr>
          <w:tblHeader/>
          <w:jc w:val="center"/>
        </w:trPr>
        <w:tc>
          <w:tcPr>
            <w:tcW w:w="2905" w:type="pct"/>
            <w:gridSpan w:val="7"/>
            <w:tcBorders>
              <w:top w:val="single" w:sz="6" w:space="0" w:color="FFFFFF"/>
              <w:left w:val="single" w:sz="6" w:space="0" w:color="FFFFFF"/>
              <w:right w:val="single" w:sz="6" w:space="0" w:color="FFFFFF"/>
            </w:tcBorders>
            <w:shd w:val="clear" w:color="auto" w:fill="auto"/>
            <w:vAlign w:val="center"/>
          </w:tcPr>
          <w:p w:rsidR="000F298A" w:rsidRPr="004E638E" w:rsidRDefault="000F298A" w:rsidP="000F298A">
            <w:pPr>
              <w:spacing w:line="300" w:lineRule="exact"/>
              <w:jc w:val="left"/>
              <w:rPr>
                <w:rFonts w:asciiTheme="minorEastAsia" w:hAnsiTheme="minorEastAsia"/>
                <w:sz w:val="24"/>
                <w:szCs w:val="24"/>
              </w:rPr>
            </w:pPr>
            <w:r w:rsidRPr="004E638E">
              <w:rPr>
                <w:rFonts w:asciiTheme="minorEastAsia" w:hAnsiTheme="minorEastAsia" w:cs="宋体" w:hint="eastAsia"/>
                <w:kern w:val="0"/>
                <w:sz w:val="22"/>
              </w:rPr>
              <w:t>975</w:t>
            </w:r>
            <w:r w:rsidR="00AD633A" w:rsidRPr="004E638E">
              <w:rPr>
                <w:rFonts w:asciiTheme="minorEastAsia" w:hAnsiTheme="minorEastAsia" w:cs="宋体" w:hint="eastAsia"/>
                <w:kern w:val="0"/>
                <w:sz w:val="18"/>
                <w:szCs w:val="18"/>
              </w:rPr>
              <w:t xml:space="preserve"> </w:t>
            </w:r>
            <w:r w:rsidRPr="004E638E">
              <w:rPr>
                <w:rFonts w:asciiTheme="minorEastAsia" w:hAnsiTheme="minorEastAsia" w:cs="宋体" w:hint="eastAsia"/>
                <w:kern w:val="0"/>
                <w:sz w:val="22"/>
              </w:rPr>
              <w:t>香河县供销合作社联合社</w:t>
            </w:r>
          </w:p>
        </w:tc>
        <w:tc>
          <w:tcPr>
            <w:tcW w:w="2095" w:type="pct"/>
            <w:gridSpan w:val="7"/>
            <w:tcBorders>
              <w:top w:val="single" w:sz="6" w:space="0" w:color="FFFFFF"/>
              <w:left w:val="single" w:sz="6" w:space="0" w:color="FFFFFF"/>
              <w:right w:val="single" w:sz="6" w:space="0" w:color="FFFFFF"/>
            </w:tcBorders>
            <w:shd w:val="clear" w:color="auto" w:fill="auto"/>
            <w:vAlign w:val="center"/>
          </w:tcPr>
          <w:p w:rsidR="000F298A" w:rsidRPr="001245BB" w:rsidRDefault="000F298A" w:rsidP="00DB7E73">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4E638E" w:rsidRPr="007851C6" w:rsidTr="004E638E">
        <w:trPr>
          <w:trHeight w:val="487"/>
          <w:tblHeader/>
          <w:jc w:val="center"/>
        </w:trPr>
        <w:tc>
          <w:tcPr>
            <w:tcW w:w="960" w:type="pct"/>
            <w:gridSpan w:val="2"/>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48"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55" w:type="pct"/>
            <w:vMerge w:val="restart"/>
            <w:shd w:val="clear" w:color="auto" w:fill="auto"/>
            <w:vAlign w:val="center"/>
          </w:tcPr>
          <w:p w:rsidR="004E638E" w:rsidRDefault="000F298A" w:rsidP="00DB7E73">
            <w:pPr>
              <w:spacing w:line="300" w:lineRule="exact"/>
              <w:jc w:val="center"/>
              <w:rPr>
                <w:rFonts w:ascii="方正书宋_GBK" w:eastAsia="方正书宋_GBK" w:hAnsi="Times New Roman" w:hint="eastAsia"/>
                <w:b/>
                <w:szCs w:val="24"/>
              </w:rPr>
            </w:pPr>
            <w:r w:rsidRPr="001245BB">
              <w:rPr>
                <w:rFonts w:ascii="方正书宋_GBK" w:eastAsia="方正书宋_GBK" w:hAnsi="Times New Roman" w:hint="eastAsia"/>
                <w:b/>
                <w:szCs w:val="24"/>
              </w:rPr>
              <w:t>政府采购</w:t>
            </w:r>
          </w:p>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目录序号</w:t>
            </w:r>
          </w:p>
        </w:tc>
        <w:tc>
          <w:tcPr>
            <w:tcW w:w="455" w:type="pct"/>
            <w:vMerge w:val="restart"/>
            <w:shd w:val="clear" w:color="auto" w:fill="auto"/>
            <w:vAlign w:val="center"/>
          </w:tcPr>
          <w:p w:rsidR="004E638E" w:rsidRDefault="000F298A" w:rsidP="00DB7E73">
            <w:pPr>
              <w:spacing w:line="300" w:lineRule="exact"/>
              <w:jc w:val="center"/>
              <w:rPr>
                <w:rFonts w:ascii="方正书宋_GBK" w:eastAsia="方正书宋_GBK" w:hAnsi="Times New Roman" w:hint="eastAsia"/>
                <w:b/>
                <w:szCs w:val="24"/>
              </w:rPr>
            </w:pPr>
            <w:r w:rsidRPr="001245BB">
              <w:rPr>
                <w:rFonts w:ascii="方正书宋_GBK" w:eastAsia="方正书宋_GBK" w:hAnsi="Times New Roman" w:hint="eastAsia"/>
                <w:b/>
                <w:szCs w:val="24"/>
              </w:rPr>
              <w:t>数量</w:t>
            </w:r>
          </w:p>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单位</w:t>
            </w:r>
          </w:p>
        </w:tc>
        <w:tc>
          <w:tcPr>
            <w:tcW w:w="286"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400"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095" w:type="pct"/>
            <w:gridSpan w:val="7"/>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4E638E" w:rsidRPr="007851C6" w:rsidTr="004E638E">
        <w:trPr>
          <w:trHeight w:val="423"/>
          <w:tblHeader/>
          <w:jc w:val="center"/>
        </w:trPr>
        <w:tc>
          <w:tcPr>
            <w:tcW w:w="560"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401"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48"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55"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55"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286"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00"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199"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47" w:type="pct"/>
            <w:gridSpan w:val="5"/>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349" w:type="pct"/>
            <w:vMerge w:val="restar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4E638E" w:rsidRPr="007851C6" w:rsidTr="004E638E">
        <w:trPr>
          <w:tblHeader/>
          <w:jc w:val="center"/>
        </w:trPr>
        <w:tc>
          <w:tcPr>
            <w:tcW w:w="560"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01"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348"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55"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55"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286"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400"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199"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c>
          <w:tcPr>
            <w:tcW w:w="349"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49"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49"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250"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49"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349" w:type="pct"/>
            <w:vMerge/>
            <w:shd w:val="clear" w:color="auto" w:fill="auto"/>
            <w:vAlign w:val="center"/>
          </w:tcPr>
          <w:p w:rsidR="000F298A" w:rsidRPr="001245BB" w:rsidRDefault="000F298A" w:rsidP="00DB7E73">
            <w:pPr>
              <w:spacing w:line="300" w:lineRule="exact"/>
              <w:jc w:val="left"/>
              <w:outlineLvl w:val="0"/>
              <w:rPr>
                <w:rFonts w:ascii="Times New Roman" w:hAnsi="Times New Roman"/>
                <w:szCs w:val="24"/>
              </w:rPr>
            </w:pPr>
          </w:p>
        </w:tc>
      </w:tr>
      <w:tr w:rsidR="004E638E" w:rsidRPr="007851C6" w:rsidTr="004E638E">
        <w:trPr>
          <w:jc w:val="center"/>
        </w:trPr>
        <w:tc>
          <w:tcPr>
            <w:tcW w:w="560"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401"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8" w:type="pct"/>
            <w:shd w:val="clear" w:color="auto" w:fill="auto"/>
            <w:vAlign w:val="center"/>
          </w:tcPr>
          <w:p w:rsidR="000F298A" w:rsidRPr="001245BB" w:rsidRDefault="000F298A" w:rsidP="00DB7E73">
            <w:pPr>
              <w:spacing w:line="300" w:lineRule="exact"/>
              <w:jc w:val="left"/>
              <w:rPr>
                <w:rFonts w:ascii="方正书宋_GBK" w:eastAsia="方正书宋_GBK" w:hAnsi="Times New Roman"/>
                <w:b/>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b/>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b/>
                <w:szCs w:val="24"/>
              </w:rPr>
            </w:pPr>
          </w:p>
        </w:tc>
        <w:tc>
          <w:tcPr>
            <w:tcW w:w="286"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40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19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2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25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r>
      <w:tr w:rsidR="004E638E" w:rsidRPr="007851C6" w:rsidTr="004E638E">
        <w:trPr>
          <w:jc w:val="center"/>
        </w:trPr>
        <w:tc>
          <w:tcPr>
            <w:tcW w:w="560" w:type="pct"/>
            <w:shd w:val="clear" w:color="auto" w:fill="auto"/>
            <w:vAlign w:val="center"/>
          </w:tcPr>
          <w:p w:rsidR="000F298A" w:rsidRPr="001245BB" w:rsidRDefault="000F298A" w:rsidP="00DB7E73">
            <w:pPr>
              <w:spacing w:line="300" w:lineRule="exact"/>
              <w:jc w:val="center"/>
              <w:rPr>
                <w:rFonts w:ascii="方正书宋_GBK" w:eastAsia="方正书宋_GBK" w:hAnsi="Times New Roman"/>
                <w:b/>
                <w:szCs w:val="24"/>
              </w:rPr>
            </w:pPr>
          </w:p>
        </w:tc>
        <w:tc>
          <w:tcPr>
            <w:tcW w:w="401"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8" w:type="pct"/>
            <w:shd w:val="clear" w:color="auto" w:fill="auto"/>
            <w:vAlign w:val="center"/>
          </w:tcPr>
          <w:p w:rsidR="000F298A" w:rsidRPr="001245BB" w:rsidRDefault="000F298A" w:rsidP="00DB7E73">
            <w:pPr>
              <w:spacing w:line="300" w:lineRule="exact"/>
              <w:jc w:val="left"/>
              <w:rPr>
                <w:rFonts w:ascii="方正书宋_GBK" w:eastAsia="方正书宋_GBK" w:hAnsi="Times New Roman"/>
                <w:b/>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b/>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b/>
                <w:szCs w:val="24"/>
              </w:rPr>
            </w:pPr>
          </w:p>
        </w:tc>
        <w:tc>
          <w:tcPr>
            <w:tcW w:w="286"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40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19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2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25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b/>
                <w:szCs w:val="24"/>
              </w:rPr>
            </w:pPr>
          </w:p>
        </w:tc>
      </w:tr>
      <w:tr w:rsidR="004E638E" w:rsidRPr="007851C6" w:rsidTr="004E638E">
        <w:trPr>
          <w:jc w:val="center"/>
        </w:trPr>
        <w:tc>
          <w:tcPr>
            <w:tcW w:w="560"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401"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8"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286"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40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19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2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25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r>
      <w:tr w:rsidR="004E638E" w:rsidRPr="007851C6" w:rsidTr="004E638E">
        <w:trPr>
          <w:jc w:val="center"/>
        </w:trPr>
        <w:tc>
          <w:tcPr>
            <w:tcW w:w="560"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401"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8"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455" w:type="pct"/>
            <w:shd w:val="clear" w:color="auto" w:fill="auto"/>
            <w:vAlign w:val="center"/>
          </w:tcPr>
          <w:p w:rsidR="000F298A" w:rsidRPr="001245BB" w:rsidRDefault="000F298A" w:rsidP="00DB7E73">
            <w:pPr>
              <w:spacing w:line="300" w:lineRule="exact"/>
              <w:jc w:val="left"/>
              <w:rPr>
                <w:rFonts w:ascii="方正书宋_GBK" w:eastAsia="方正书宋_GBK" w:hAnsi="Times New Roman"/>
                <w:szCs w:val="24"/>
              </w:rPr>
            </w:pPr>
          </w:p>
        </w:tc>
        <w:tc>
          <w:tcPr>
            <w:tcW w:w="286"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40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19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2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250"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c>
          <w:tcPr>
            <w:tcW w:w="349" w:type="pct"/>
            <w:shd w:val="clear" w:color="auto" w:fill="auto"/>
            <w:vAlign w:val="center"/>
          </w:tcPr>
          <w:p w:rsidR="000F298A" w:rsidRPr="001245BB" w:rsidRDefault="000F298A" w:rsidP="00DB7E73">
            <w:pPr>
              <w:spacing w:line="300" w:lineRule="exact"/>
              <w:jc w:val="right"/>
              <w:rPr>
                <w:rFonts w:ascii="方正书宋_GBK" w:eastAsia="方正书宋_GBK" w:hAnsi="Times New Roman"/>
                <w:szCs w:val="24"/>
              </w:rPr>
            </w:pPr>
          </w:p>
        </w:tc>
      </w:tr>
    </w:tbl>
    <w:p w:rsidR="000F298A" w:rsidRPr="00042130" w:rsidRDefault="000F298A" w:rsidP="000F298A">
      <w:pPr>
        <w:pStyle w:val="a5"/>
        <w:rPr>
          <w:rFonts w:hAnsi="宋体" w:cs="宋体"/>
        </w:rPr>
      </w:pPr>
    </w:p>
    <w:p w:rsidR="00F66032" w:rsidRPr="00C24BF5" w:rsidRDefault="00F66032" w:rsidP="00415CB8">
      <w:pPr>
        <w:autoSpaceDE w:val="0"/>
        <w:autoSpaceDN w:val="0"/>
        <w:adjustRightInd w:val="0"/>
        <w:ind w:left="198" w:firstLineChars="200" w:firstLine="640"/>
        <w:jc w:val="left"/>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24465C" w:rsidRPr="00AA71ED" w:rsidRDefault="000A63E7" w:rsidP="00E16BFB">
      <w:pPr>
        <w:spacing w:line="560" w:lineRule="exact"/>
        <w:ind w:firstLineChars="250" w:firstLine="800"/>
        <w:rPr>
          <w:rFonts w:ascii="仿宋" w:eastAsia="仿宋" w:hAnsi="仿宋" w:cs="Times New Roman"/>
          <w:b/>
          <w:sz w:val="32"/>
          <w:szCs w:val="32"/>
          <w:highlight w:val="red"/>
        </w:rPr>
      </w:pPr>
      <w:r w:rsidRPr="00AA71ED">
        <w:rPr>
          <w:rFonts w:ascii="仿宋" w:eastAsia="仿宋" w:hAnsi="仿宋" w:cs="Times New Roman" w:hint="eastAsia"/>
          <w:sz w:val="32"/>
          <w:szCs w:val="32"/>
        </w:rPr>
        <w:t>香河县</w:t>
      </w:r>
      <w:r w:rsidR="009D4EF7">
        <w:rPr>
          <w:rFonts w:ascii="仿宋" w:eastAsia="仿宋" w:hAnsi="仿宋" w:cs="Times New Roman" w:hint="eastAsia"/>
          <w:sz w:val="32"/>
          <w:szCs w:val="32"/>
        </w:rPr>
        <w:t>供销合作社联合</w:t>
      </w:r>
      <w:proofErr w:type="gramStart"/>
      <w:r w:rsidR="009D4EF7">
        <w:rPr>
          <w:rFonts w:ascii="仿宋" w:eastAsia="仿宋" w:hAnsi="仿宋" w:cs="Times New Roman" w:hint="eastAsia"/>
          <w:sz w:val="32"/>
          <w:szCs w:val="32"/>
        </w:rPr>
        <w:t>社</w:t>
      </w:r>
      <w:r w:rsidR="008334AE" w:rsidRPr="00AA71ED">
        <w:rPr>
          <w:rFonts w:ascii="仿宋" w:eastAsia="仿宋" w:hAnsi="仿宋" w:cs="Times New Roman" w:hint="eastAsia"/>
          <w:sz w:val="32"/>
          <w:szCs w:val="32"/>
        </w:rPr>
        <w:t>上年</w:t>
      </w:r>
      <w:proofErr w:type="gramEnd"/>
      <w:r w:rsidR="008334AE" w:rsidRPr="00AA71ED">
        <w:rPr>
          <w:rFonts w:ascii="仿宋" w:eastAsia="仿宋" w:hAnsi="仿宋" w:cs="Times New Roman" w:hint="eastAsia"/>
          <w:sz w:val="32"/>
          <w:szCs w:val="32"/>
        </w:rPr>
        <w:t>末固定资产金额为</w:t>
      </w:r>
      <w:r w:rsidR="00242730">
        <w:rPr>
          <w:rFonts w:ascii="仿宋" w:eastAsia="仿宋" w:hAnsi="仿宋" w:cs="Times New Roman" w:hint="eastAsia"/>
          <w:sz w:val="32"/>
          <w:szCs w:val="32"/>
        </w:rPr>
        <w:t>57.624</w:t>
      </w:r>
      <w:r w:rsidR="008334AE" w:rsidRPr="00AA71ED">
        <w:rPr>
          <w:rFonts w:ascii="仿宋" w:eastAsia="仿宋" w:hAnsi="仿宋" w:cs="Times New Roman" w:hint="eastAsia"/>
          <w:sz w:val="32"/>
          <w:szCs w:val="32"/>
        </w:rPr>
        <w:t>万元</w:t>
      </w:r>
      <w:r w:rsidR="00B178D7">
        <w:rPr>
          <w:rFonts w:ascii="仿宋" w:eastAsia="仿宋" w:hAnsi="仿宋" w:cs="Times New Roman" w:hint="eastAsia"/>
          <w:sz w:val="32"/>
          <w:szCs w:val="32"/>
        </w:rPr>
        <w:t>，</w:t>
      </w:r>
      <w:r w:rsidR="00B178D7">
        <w:rPr>
          <w:rFonts w:ascii="仿宋" w:eastAsia="仿宋" w:hAnsi="仿宋" w:hint="eastAsia"/>
          <w:sz w:val="32"/>
          <w:szCs w:val="32"/>
        </w:rPr>
        <w:t>本年度我</w:t>
      </w:r>
      <w:r w:rsidR="00FD6525" w:rsidRPr="00B178D7">
        <w:rPr>
          <w:rFonts w:ascii="仿宋" w:eastAsia="仿宋" w:hAnsi="仿宋" w:hint="eastAsia"/>
          <w:sz w:val="32"/>
          <w:szCs w:val="32"/>
        </w:rPr>
        <w:t>单位没有拟购置固定资产</w:t>
      </w:r>
      <w:r w:rsidR="00B178D7">
        <w:rPr>
          <w:rFonts w:ascii="仿宋" w:eastAsia="仿宋" w:hAnsi="仿宋" w:hint="eastAsia"/>
          <w:sz w:val="32"/>
          <w:szCs w:val="32"/>
        </w:rPr>
        <w:t>。</w:t>
      </w:r>
      <w:r w:rsidR="00242730">
        <w:rPr>
          <w:rFonts w:ascii="仿宋" w:eastAsia="仿宋" w:hAnsi="仿宋" w:cs="Times New Roman" w:hint="eastAsia"/>
          <w:sz w:val="32"/>
          <w:szCs w:val="32"/>
        </w:rPr>
        <w:t>详见下表。</w:t>
      </w:r>
    </w:p>
    <w:tbl>
      <w:tblPr>
        <w:tblW w:w="13482" w:type="dxa"/>
        <w:tblInd w:w="93" w:type="dxa"/>
        <w:tblLook w:val="04A0"/>
      </w:tblPr>
      <w:tblGrid>
        <w:gridCol w:w="5224"/>
        <w:gridCol w:w="3155"/>
        <w:gridCol w:w="5103"/>
      </w:tblGrid>
      <w:tr w:rsidR="00296113" w:rsidRPr="00C24BF5"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C24BF5" w:rsidRDefault="00296113" w:rsidP="00296113">
            <w:pPr>
              <w:widowControl/>
              <w:jc w:val="center"/>
              <w:rPr>
                <w:rFonts w:asciiTheme="minorEastAsia" w:hAnsiTheme="minorEastAsia" w:cs="宋体"/>
                <w:b/>
                <w:bCs/>
                <w:kern w:val="0"/>
                <w:sz w:val="32"/>
                <w:szCs w:val="32"/>
              </w:rPr>
            </w:pPr>
            <w:r w:rsidRPr="00C24BF5">
              <w:rPr>
                <w:rFonts w:asciiTheme="minorEastAsia" w:hAnsiTheme="minorEastAsia"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4E638E" w:rsidP="004E638E">
            <w:pPr>
              <w:widowControl/>
              <w:jc w:val="left"/>
              <w:rPr>
                <w:rFonts w:ascii="宋体" w:eastAsia="宋体" w:hAnsi="宋体" w:cs="宋体"/>
                <w:kern w:val="0"/>
                <w:sz w:val="22"/>
              </w:rPr>
            </w:pPr>
            <w:r w:rsidRPr="004E638E">
              <w:rPr>
                <w:rFonts w:asciiTheme="minorEastAsia" w:hAnsiTheme="minorEastAsia" w:cs="宋体" w:hint="eastAsia"/>
                <w:kern w:val="0"/>
                <w:sz w:val="22"/>
              </w:rPr>
              <w:t>9</w:t>
            </w:r>
            <w:r w:rsidR="000F298A" w:rsidRPr="004E638E">
              <w:rPr>
                <w:rFonts w:asciiTheme="minorEastAsia" w:hAnsiTheme="minorEastAsia" w:cs="宋体"/>
                <w:kern w:val="0"/>
                <w:sz w:val="22"/>
              </w:rPr>
              <w:t>75</w:t>
            </w:r>
            <w:r w:rsidRPr="004E638E">
              <w:rPr>
                <w:rFonts w:asciiTheme="minorEastAsia" w:hAnsiTheme="minorEastAsia" w:cs="宋体" w:hint="eastAsia"/>
                <w:kern w:val="0"/>
                <w:sz w:val="30"/>
                <w:szCs w:val="30"/>
              </w:rPr>
              <w:t xml:space="preserve"> </w:t>
            </w:r>
            <w:r w:rsidR="0024465C">
              <w:rPr>
                <w:rFonts w:ascii="宋体" w:eastAsia="宋体" w:hAnsi="宋体" w:cs="宋体" w:hint="eastAsia"/>
                <w:kern w:val="0"/>
                <w:sz w:val="22"/>
              </w:rPr>
              <w:t>香河县</w:t>
            </w:r>
            <w:r w:rsidR="009D4EF7">
              <w:rPr>
                <w:rFonts w:ascii="宋体" w:eastAsia="宋体" w:hAnsi="宋体" w:cs="宋体" w:hint="eastAsia"/>
                <w:kern w:val="0"/>
                <w:sz w:val="22"/>
              </w:rPr>
              <w:t>供销合作社联合社</w:t>
            </w:r>
          </w:p>
        </w:tc>
        <w:tc>
          <w:tcPr>
            <w:tcW w:w="5103" w:type="dxa"/>
            <w:tcBorders>
              <w:top w:val="nil"/>
              <w:left w:val="nil"/>
              <w:bottom w:val="nil"/>
              <w:right w:val="nil"/>
            </w:tcBorders>
            <w:shd w:val="clear" w:color="auto" w:fill="auto"/>
            <w:noWrap/>
            <w:vAlign w:val="center"/>
            <w:hideMark/>
          </w:tcPr>
          <w:p w:rsidR="00296113" w:rsidRPr="00296113" w:rsidRDefault="00296113" w:rsidP="004E638E">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5D68FF">
              <w:rPr>
                <w:rFonts w:ascii="宋体" w:eastAsia="宋体" w:hAnsi="宋体" w:cs="宋体" w:hint="eastAsia"/>
                <w:kern w:val="0"/>
                <w:sz w:val="22"/>
              </w:rPr>
              <w:t>2017年</w:t>
            </w:r>
            <w:r w:rsidRPr="00296113">
              <w:rPr>
                <w:rFonts w:ascii="宋体" w:eastAsia="宋体" w:hAnsi="宋体" w:cs="宋体" w:hint="eastAsia"/>
                <w:kern w:val="0"/>
                <w:sz w:val="22"/>
              </w:rPr>
              <w:t xml:space="preserve">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42730" w:rsidP="00296113">
            <w:pPr>
              <w:widowControl/>
              <w:jc w:val="center"/>
              <w:rPr>
                <w:rFonts w:ascii="宋体" w:eastAsia="宋体" w:hAnsi="宋体" w:cs="宋体"/>
                <w:kern w:val="0"/>
                <w:sz w:val="22"/>
              </w:rPr>
            </w:pPr>
            <w:r>
              <w:rPr>
                <w:rFonts w:ascii="宋体" w:eastAsia="宋体" w:hAnsi="宋体" w:cs="宋体" w:hint="eastAsia"/>
                <w:kern w:val="0"/>
                <w:sz w:val="22"/>
              </w:rPr>
              <w:t>57.624</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5632E5">
            <w:pPr>
              <w:widowControl/>
              <w:jc w:val="left"/>
              <w:rPr>
                <w:rFonts w:ascii="宋体" w:eastAsia="宋体" w:hAnsi="宋体" w:cs="宋体"/>
                <w:kern w:val="0"/>
                <w:sz w:val="22"/>
              </w:rPr>
            </w:pPr>
            <w:r w:rsidRPr="00296113">
              <w:rPr>
                <w:rFonts w:ascii="宋体" w:eastAsia="宋体" w:hAnsi="宋体" w:cs="宋体" w:hint="eastAsia"/>
                <w:kern w:val="0"/>
                <w:sz w:val="22"/>
              </w:rPr>
              <w:t>3、单价在</w:t>
            </w:r>
            <w:r w:rsidR="005632E5">
              <w:rPr>
                <w:rFonts w:ascii="宋体" w:eastAsia="宋体" w:hAnsi="宋体" w:cs="宋体" w:hint="eastAsia"/>
                <w:kern w:val="0"/>
                <w:sz w:val="22"/>
              </w:rPr>
              <w:t>5</w:t>
            </w:r>
            <w:r w:rsidRPr="00296113">
              <w:rPr>
                <w:rFonts w:ascii="宋体" w:eastAsia="宋体" w:hAnsi="宋体" w:cs="宋体" w:hint="eastAsia"/>
                <w:kern w:val="0"/>
                <w:sz w:val="22"/>
              </w:rPr>
              <w:t>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42730" w:rsidP="00296113">
            <w:pPr>
              <w:widowControl/>
              <w:jc w:val="center"/>
              <w:rPr>
                <w:rFonts w:ascii="宋体" w:eastAsia="宋体" w:hAnsi="宋体" w:cs="宋体"/>
                <w:kern w:val="0"/>
                <w:sz w:val="22"/>
              </w:rPr>
            </w:pPr>
            <w:r>
              <w:rPr>
                <w:rFonts w:ascii="宋体" w:eastAsia="宋体" w:hAnsi="宋体" w:cs="宋体" w:hint="eastAsia"/>
                <w:kern w:val="0"/>
                <w:sz w:val="22"/>
              </w:rPr>
              <w:t>57.624</w:t>
            </w:r>
          </w:p>
        </w:tc>
      </w:tr>
    </w:tbl>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lastRenderedPageBreak/>
        <w:t>八、名词解释</w:t>
      </w:r>
    </w:p>
    <w:p w:rsidR="00F71E48" w:rsidRPr="00207CAD" w:rsidRDefault="00F71E48" w:rsidP="00450F8F">
      <w:pPr>
        <w:pStyle w:val="Default"/>
        <w:ind w:firstLineChars="196" w:firstLine="630"/>
        <w:rPr>
          <w:rFonts w:ascii="仿宋_GB2312" w:eastAsia="仿宋_GB2312"/>
          <w:b/>
          <w:bCs/>
          <w:sz w:val="32"/>
          <w:szCs w:val="32"/>
        </w:rPr>
      </w:pPr>
      <w:r w:rsidRPr="00207CAD">
        <w:rPr>
          <w:rFonts w:ascii="仿宋_GB2312" w:eastAsia="仿宋_GB2312" w:hint="eastAsia"/>
          <w:b/>
          <w:bCs/>
          <w:sz w:val="32"/>
          <w:szCs w:val="32"/>
        </w:rPr>
        <w:t>1</w:t>
      </w:r>
      <w:r w:rsidRPr="00207CAD">
        <w:rPr>
          <w:rFonts w:ascii="仿宋_GB2312" w:eastAsia="仿宋_GB2312" w:hAnsi="FZFangSong-Z02" w:cs="FZFangSong-Z02" w:hint="eastAsia"/>
          <w:sz w:val="32"/>
          <w:szCs w:val="32"/>
        </w:rPr>
        <w:t>、一般公共预算拨款收入：指</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F71E48" w:rsidRPr="00207CAD" w:rsidRDefault="00F71E48" w:rsidP="00F71E48">
      <w:pPr>
        <w:rPr>
          <w:rFonts w:ascii="仿宋_GB2312" w:eastAsia="仿宋_GB2312"/>
          <w:sz w:val="32"/>
          <w:szCs w:val="32"/>
        </w:rPr>
      </w:pPr>
      <w:r w:rsidRPr="00207CAD">
        <w:rPr>
          <w:rFonts w:ascii="仿宋_GB2312" w:eastAsia="仿宋_GB2312" w:hint="eastAsia"/>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F71E48" w:rsidRPr="00207CAD" w:rsidRDefault="00F71E48" w:rsidP="00F71E48">
      <w:pPr>
        <w:pStyle w:val="Default"/>
        <w:rPr>
          <w:rFonts w:ascii="仿宋_GB2312" w:eastAsia="仿宋_GB2312"/>
          <w:sz w:val="32"/>
          <w:szCs w:val="32"/>
        </w:rPr>
      </w:pPr>
      <w:r w:rsidRPr="00207CAD">
        <w:rPr>
          <w:rFonts w:ascii="仿宋_GB2312" w:eastAsia="仿宋_GB2312" w:hint="eastAsia"/>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单位按规定开支的各类公务接待（含外宾接待）支出。</w:t>
      </w:r>
    </w:p>
    <w:p w:rsidR="00F71E48" w:rsidRDefault="00F71E48" w:rsidP="00F71E48">
      <w:pPr>
        <w:ind w:firstLine="640"/>
        <w:rPr>
          <w:rFonts w:ascii="仿宋_GB2312" w:eastAsia="仿宋_GB2312"/>
          <w:sz w:val="32"/>
          <w:szCs w:val="32"/>
        </w:rPr>
      </w:pPr>
      <w:r w:rsidRPr="00207CAD">
        <w:rPr>
          <w:rFonts w:ascii="仿宋_GB2312" w:eastAsia="仿宋_GB2312" w:hint="eastAsia"/>
          <w:b/>
          <w:bCs/>
          <w:sz w:val="32"/>
          <w:szCs w:val="32"/>
        </w:rPr>
        <w:lastRenderedPageBreak/>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8C2BAF" w:rsidRPr="00C24BF5" w:rsidRDefault="008C2BAF" w:rsidP="00F71E48">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8C2BAF" w:rsidRPr="00AA71ED" w:rsidRDefault="008C2BAF" w:rsidP="00C24BF5">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sectPr w:rsidR="008C2BAF" w:rsidRPr="00AA71ED" w:rsidSect="00285707">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32" w:rsidRDefault="00F95A32" w:rsidP="008C2BAF">
      <w:r>
        <w:separator/>
      </w:r>
    </w:p>
  </w:endnote>
  <w:endnote w:type="continuationSeparator" w:id="0">
    <w:p w:rsidR="00F95A32" w:rsidRDefault="00F95A32"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书宋_GBK">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32" w:rsidRDefault="00F95A32" w:rsidP="008C2BAF">
      <w:r>
        <w:separator/>
      </w:r>
    </w:p>
  </w:footnote>
  <w:footnote w:type="continuationSeparator" w:id="0">
    <w:p w:rsidR="00F95A32" w:rsidRDefault="00F95A32"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AA1"/>
    <w:rsid w:val="000251F1"/>
    <w:rsid w:val="00037AF6"/>
    <w:rsid w:val="00045A61"/>
    <w:rsid w:val="00052587"/>
    <w:rsid w:val="00062DD6"/>
    <w:rsid w:val="000650DE"/>
    <w:rsid w:val="000751CD"/>
    <w:rsid w:val="00075D5F"/>
    <w:rsid w:val="00090DC6"/>
    <w:rsid w:val="00093D80"/>
    <w:rsid w:val="000A63E7"/>
    <w:rsid w:val="000B04B5"/>
    <w:rsid w:val="000C3A19"/>
    <w:rsid w:val="000F298A"/>
    <w:rsid w:val="001245BB"/>
    <w:rsid w:val="00125FBB"/>
    <w:rsid w:val="00180F63"/>
    <w:rsid w:val="0018479D"/>
    <w:rsid w:val="001B0218"/>
    <w:rsid w:val="001C1F53"/>
    <w:rsid w:val="00203698"/>
    <w:rsid w:val="00223272"/>
    <w:rsid w:val="00241FD4"/>
    <w:rsid w:val="00242730"/>
    <w:rsid w:val="0024465C"/>
    <w:rsid w:val="00246DD9"/>
    <w:rsid w:val="002508C4"/>
    <w:rsid w:val="00251B12"/>
    <w:rsid w:val="00260879"/>
    <w:rsid w:val="00261354"/>
    <w:rsid w:val="002645FB"/>
    <w:rsid w:val="00274B2E"/>
    <w:rsid w:val="00285707"/>
    <w:rsid w:val="00296113"/>
    <w:rsid w:val="002C200A"/>
    <w:rsid w:val="002D1476"/>
    <w:rsid w:val="002D3227"/>
    <w:rsid w:val="002D4AF7"/>
    <w:rsid w:val="002F3E58"/>
    <w:rsid w:val="0030542C"/>
    <w:rsid w:val="00311B7A"/>
    <w:rsid w:val="00332ABC"/>
    <w:rsid w:val="00386FA7"/>
    <w:rsid w:val="003A094E"/>
    <w:rsid w:val="003C4344"/>
    <w:rsid w:val="003E1A7F"/>
    <w:rsid w:val="003E23A5"/>
    <w:rsid w:val="003E7698"/>
    <w:rsid w:val="003F49E7"/>
    <w:rsid w:val="00407C8B"/>
    <w:rsid w:val="00415CB8"/>
    <w:rsid w:val="00450F8F"/>
    <w:rsid w:val="00451871"/>
    <w:rsid w:val="00472923"/>
    <w:rsid w:val="00485C84"/>
    <w:rsid w:val="00497870"/>
    <w:rsid w:val="004B37C2"/>
    <w:rsid w:val="004E3066"/>
    <w:rsid w:val="004E638E"/>
    <w:rsid w:val="004E74CD"/>
    <w:rsid w:val="004F6123"/>
    <w:rsid w:val="00520CEC"/>
    <w:rsid w:val="0056326C"/>
    <w:rsid w:val="005632E5"/>
    <w:rsid w:val="00572603"/>
    <w:rsid w:val="00573562"/>
    <w:rsid w:val="00595C93"/>
    <w:rsid w:val="005A51EF"/>
    <w:rsid w:val="005C1AEB"/>
    <w:rsid w:val="005C248A"/>
    <w:rsid w:val="005C4AFF"/>
    <w:rsid w:val="005D68FF"/>
    <w:rsid w:val="006009A1"/>
    <w:rsid w:val="00614A29"/>
    <w:rsid w:val="00646686"/>
    <w:rsid w:val="0069476A"/>
    <w:rsid w:val="006D6C8A"/>
    <w:rsid w:val="006E5AA3"/>
    <w:rsid w:val="006F7837"/>
    <w:rsid w:val="00730DB1"/>
    <w:rsid w:val="007323EB"/>
    <w:rsid w:val="007373C1"/>
    <w:rsid w:val="00750F90"/>
    <w:rsid w:val="0075393C"/>
    <w:rsid w:val="00757221"/>
    <w:rsid w:val="007751AA"/>
    <w:rsid w:val="00776C08"/>
    <w:rsid w:val="007A1524"/>
    <w:rsid w:val="007B2D87"/>
    <w:rsid w:val="007B4EE0"/>
    <w:rsid w:val="007E1DA8"/>
    <w:rsid w:val="007F1DCF"/>
    <w:rsid w:val="007F25F1"/>
    <w:rsid w:val="007F6C26"/>
    <w:rsid w:val="007F7075"/>
    <w:rsid w:val="00803D50"/>
    <w:rsid w:val="00806E39"/>
    <w:rsid w:val="00826AC9"/>
    <w:rsid w:val="008334AE"/>
    <w:rsid w:val="00836FED"/>
    <w:rsid w:val="00845CD2"/>
    <w:rsid w:val="008502D8"/>
    <w:rsid w:val="00852B0D"/>
    <w:rsid w:val="00881692"/>
    <w:rsid w:val="00883AF1"/>
    <w:rsid w:val="008A56A6"/>
    <w:rsid w:val="008B3CC5"/>
    <w:rsid w:val="008C2BAF"/>
    <w:rsid w:val="008E4261"/>
    <w:rsid w:val="008E6A57"/>
    <w:rsid w:val="008F4662"/>
    <w:rsid w:val="00905D08"/>
    <w:rsid w:val="0091236C"/>
    <w:rsid w:val="00925753"/>
    <w:rsid w:val="00927B0B"/>
    <w:rsid w:val="00950B39"/>
    <w:rsid w:val="00956D0A"/>
    <w:rsid w:val="009668BA"/>
    <w:rsid w:val="00966C5C"/>
    <w:rsid w:val="00967BB9"/>
    <w:rsid w:val="00973104"/>
    <w:rsid w:val="009A2998"/>
    <w:rsid w:val="009C119B"/>
    <w:rsid w:val="009D4EF7"/>
    <w:rsid w:val="00A11219"/>
    <w:rsid w:val="00A34D76"/>
    <w:rsid w:val="00A662E9"/>
    <w:rsid w:val="00A72D2E"/>
    <w:rsid w:val="00A911E7"/>
    <w:rsid w:val="00A939D9"/>
    <w:rsid w:val="00AA71ED"/>
    <w:rsid w:val="00AB73CD"/>
    <w:rsid w:val="00AD633A"/>
    <w:rsid w:val="00AE5F45"/>
    <w:rsid w:val="00AF6B63"/>
    <w:rsid w:val="00B043C4"/>
    <w:rsid w:val="00B178D7"/>
    <w:rsid w:val="00B20712"/>
    <w:rsid w:val="00B43238"/>
    <w:rsid w:val="00B75216"/>
    <w:rsid w:val="00B91D52"/>
    <w:rsid w:val="00B95F56"/>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30E5"/>
    <w:rsid w:val="00E167C7"/>
    <w:rsid w:val="00E16BFB"/>
    <w:rsid w:val="00E82B38"/>
    <w:rsid w:val="00E84FEB"/>
    <w:rsid w:val="00EC47F6"/>
    <w:rsid w:val="00EE1B43"/>
    <w:rsid w:val="00F153EF"/>
    <w:rsid w:val="00F201B2"/>
    <w:rsid w:val="00F25140"/>
    <w:rsid w:val="00F50E15"/>
    <w:rsid w:val="00F61055"/>
    <w:rsid w:val="00F66032"/>
    <w:rsid w:val="00F662B9"/>
    <w:rsid w:val="00F672F5"/>
    <w:rsid w:val="00F71E48"/>
    <w:rsid w:val="00F958C2"/>
    <w:rsid w:val="00F95A32"/>
    <w:rsid w:val="00FB4CD3"/>
    <w:rsid w:val="00FC6357"/>
    <w:rsid w:val="00FD1768"/>
    <w:rsid w:val="00FD2081"/>
    <w:rsid w:val="00FD6525"/>
    <w:rsid w:val="00FE3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customStyle="1" w:styleId="Default">
    <w:name w:val="Default"/>
    <w:rsid w:val="00F71E48"/>
    <w:pPr>
      <w:widowControl w:val="0"/>
      <w:autoSpaceDE w:val="0"/>
      <w:autoSpaceDN w:val="0"/>
      <w:adjustRightInd w:val="0"/>
    </w:pPr>
    <w:rPr>
      <w:rFonts w:ascii="Times New Roman" w:hAnsi="Times New Roman" w:cs="Times New Roman"/>
      <w:color w:val="000000"/>
      <w:kern w:val="0"/>
      <w:sz w:val="24"/>
      <w:szCs w:val="24"/>
    </w:rPr>
  </w:style>
  <w:style w:type="paragraph" w:styleId="a5">
    <w:name w:val="Plain Text"/>
    <w:basedOn w:val="a"/>
    <w:link w:val="Char1"/>
    <w:uiPriority w:val="99"/>
    <w:unhideWhenUsed/>
    <w:rsid w:val="000F298A"/>
    <w:rPr>
      <w:rFonts w:ascii="宋体" w:eastAsia="宋体" w:hAnsi="Courier New" w:cs="Courier New"/>
      <w:szCs w:val="21"/>
    </w:rPr>
  </w:style>
  <w:style w:type="character" w:customStyle="1" w:styleId="Char1">
    <w:name w:val="纯文本 Char"/>
    <w:basedOn w:val="a0"/>
    <w:link w:val="a5"/>
    <w:uiPriority w:val="99"/>
    <w:rsid w:val="000F298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4440-E976-4D43-99AA-6625840E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spider</cp:lastModifiedBy>
  <cp:revision>142</cp:revision>
  <cp:lastPrinted>2018-08-21T08:49:00Z</cp:lastPrinted>
  <dcterms:created xsi:type="dcterms:W3CDTF">2017-01-13T03:22:00Z</dcterms:created>
  <dcterms:modified xsi:type="dcterms:W3CDTF">2018-08-24T09:46:00Z</dcterms:modified>
</cp:coreProperties>
</file>